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BF38" w14:textId="024E5D98" w:rsidR="00292E2F" w:rsidRPr="00B32508" w:rsidRDefault="00B62780" w:rsidP="00510658">
      <w:pPr>
        <w:pStyle w:val="Title"/>
        <w:rPr>
          <w:sz w:val="32"/>
          <w:szCs w:val="32"/>
          <w:lang w:val="en-US"/>
        </w:rPr>
      </w:pPr>
      <w:r>
        <w:rPr>
          <w:b w:val="0"/>
          <w:bCs w:val="0"/>
          <w:noProof/>
          <w:color w:val="809EC2" w:themeColor="accent6"/>
        </w:rPr>
        <w:drawing>
          <wp:anchor distT="0" distB="0" distL="114300" distR="114300" simplePos="0" relativeHeight="251658240" behindDoc="0" locked="0" layoutInCell="1" allowOverlap="1" wp14:anchorId="2FB6D2C7" wp14:editId="32DD0073">
            <wp:simplePos x="0" y="0"/>
            <wp:positionH relativeFrom="margin">
              <wp:posOffset>-635</wp:posOffset>
            </wp:positionH>
            <wp:positionV relativeFrom="paragraph">
              <wp:posOffset>410845</wp:posOffset>
            </wp:positionV>
            <wp:extent cx="480060" cy="480060"/>
            <wp:effectExtent l="0" t="0" r="0" b="0"/>
            <wp:wrapSquare wrapText="bothSides"/>
            <wp:docPr id="1" name="Graphique 1"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r w:rsidR="00B32508" w:rsidRPr="00B32508">
        <w:rPr>
          <w:lang w:val="en-US"/>
        </w:rPr>
        <w:t xml:space="preserve"> </w:t>
      </w:r>
      <w:r w:rsidR="00B32508" w:rsidRPr="00B32508">
        <w:rPr>
          <w:sz w:val="32"/>
          <w:szCs w:val="32"/>
          <w:lang w:val="en-US"/>
        </w:rPr>
        <w:t>Walloon Initiative for Circular Materials</w:t>
      </w:r>
      <w:r w:rsidR="00B32508">
        <w:rPr>
          <w:sz w:val="32"/>
          <w:szCs w:val="32"/>
          <w:lang w:val="en-US"/>
        </w:rPr>
        <w:t xml:space="preserve"> (Win4C)</w:t>
      </w:r>
    </w:p>
    <w:p w14:paraId="5CF83E00" w14:textId="15E30067" w:rsidR="009117D3" w:rsidRPr="00B32508" w:rsidRDefault="009E2616" w:rsidP="00292E2F">
      <w:pPr>
        <w:rPr>
          <w:color w:val="344D6C" w:themeColor="accent6" w:themeShade="80"/>
          <w:lang w:val="en-US"/>
        </w:rPr>
      </w:pPr>
      <w:r w:rsidRPr="00B32508">
        <w:rPr>
          <w:b/>
          <w:bCs/>
          <w:color w:val="344D6C" w:themeColor="accent6" w:themeShade="80"/>
          <w:lang w:val="en-US"/>
        </w:rPr>
        <w:t>Notre ambition :</w:t>
      </w:r>
      <w:r w:rsidRPr="00B32508">
        <w:rPr>
          <w:color w:val="344D6C" w:themeColor="accent6" w:themeShade="80"/>
          <w:lang w:val="en-US"/>
        </w:rPr>
        <w:t xml:space="preserve"> </w:t>
      </w:r>
    </w:p>
    <w:p w14:paraId="0E1D7760" w14:textId="10E9C931" w:rsidR="00576D53" w:rsidRPr="00576D53" w:rsidRDefault="00CA264B" w:rsidP="00576D53">
      <w:pPr>
        <w:jc w:val="both"/>
      </w:pPr>
      <w:r w:rsidRPr="00CA264B">
        <w:t xml:space="preserve">Être reconnu en 2030 comme la </w:t>
      </w:r>
      <w:proofErr w:type="spellStart"/>
      <w:r w:rsidRPr="00CA264B">
        <w:t>Recycling</w:t>
      </w:r>
      <w:proofErr w:type="spellEnd"/>
      <w:r w:rsidRPr="00CA264B">
        <w:t xml:space="preserve"> Valley au cœur de l’Europe tant du point de vue de l’innovation que du point de vue du déploiement d’une véritable économie circulaire des matériaux technologiques</w:t>
      </w:r>
      <w:r w:rsidR="007A05A5">
        <w:t xml:space="preserve"> </w:t>
      </w:r>
      <w:r w:rsidR="007A05A5" w:rsidRPr="00576D53">
        <w:t>(minéraux, métalliques, polymères)</w:t>
      </w:r>
      <w:r w:rsidR="007A05A5">
        <w:t xml:space="preserve">. </w:t>
      </w:r>
    </w:p>
    <w:p w14:paraId="65B711C6" w14:textId="35E521EB" w:rsidR="008C71E8" w:rsidRPr="0071454F" w:rsidRDefault="009117D3" w:rsidP="00292E2F">
      <w:pPr>
        <w:rPr>
          <w:b/>
          <w:bCs/>
          <w:color w:val="344D6C" w:themeColor="accent6" w:themeShade="80"/>
        </w:rPr>
      </w:pPr>
      <w:r>
        <w:rPr>
          <w:b/>
          <w:bCs/>
          <w:noProof/>
          <w:color w:val="809EC2" w:themeColor="accent6"/>
        </w:rPr>
        <w:drawing>
          <wp:anchor distT="0" distB="0" distL="114300" distR="114300" simplePos="0" relativeHeight="251659264" behindDoc="0" locked="0" layoutInCell="1" allowOverlap="1" wp14:anchorId="48D6C1F0" wp14:editId="43D8F27A">
            <wp:simplePos x="0" y="0"/>
            <wp:positionH relativeFrom="margin">
              <wp:align>left</wp:align>
            </wp:positionH>
            <wp:positionV relativeFrom="paragraph">
              <wp:posOffset>6985</wp:posOffset>
            </wp:positionV>
            <wp:extent cx="556260" cy="556260"/>
            <wp:effectExtent l="0" t="0" r="0" b="0"/>
            <wp:wrapSquare wrapText="bothSides"/>
            <wp:docPr id="2" name="Graphique 2" descr="Connexion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Connexions contou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008C71E8" w:rsidRPr="0071454F">
        <w:rPr>
          <w:b/>
          <w:bCs/>
          <w:color w:val="344D6C" w:themeColor="accent6" w:themeShade="80"/>
        </w:rPr>
        <w:t>Les acteurs clés de l’initiative</w:t>
      </w:r>
      <w:r w:rsidR="0071454F" w:rsidRPr="0071454F">
        <w:rPr>
          <w:b/>
          <w:bCs/>
          <w:color w:val="344D6C" w:themeColor="accent6" w:themeShade="80"/>
        </w:rPr>
        <w:t> :</w:t>
      </w:r>
    </w:p>
    <w:p w14:paraId="3006A4D3" w14:textId="4A0E0908" w:rsidR="00E3584C" w:rsidRDefault="007A05A5" w:rsidP="00E3584C">
      <w:pPr>
        <w:jc w:val="both"/>
      </w:pPr>
      <w:r w:rsidRPr="007A05A5">
        <w:t xml:space="preserve">Les 4 défis de l’économie circulaire </w:t>
      </w:r>
      <w:r w:rsidR="001A1CA2">
        <w:t>(</w:t>
      </w:r>
      <w:proofErr w:type="spellStart"/>
      <w:r w:rsidR="001A1CA2" w:rsidRPr="007A05A5">
        <w:t>Material</w:t>
      </w:r>
      <w:proofErr w:type="spellEnd"/>
      <w:r w:rsidR="001A1CA2" w:rsidRPr="007A05A5">
        <w:t xml:space="preserve"> </w:t>
      </w:r>
      <w:proofErr w:type="spellStart"/>
      <w:r w:rsidR="001A1CA2" w:rsidRPr="007A05A5">
        <w:t>sourcing</w:t>
      </w:r>
      <w:proofErr w:type="spellEnd"/>
      <w:r w:rsidR="001A1CA2" w:rsidRPr="007A05A5">
        <w:t xml:space="preserve">, Design for </w:t>
      </w:r>
      <w:proofErr w:type="spellStart"/>
      <w:r w:rsidR="001A1CA2" w:rsidRPr="007A05A5">
        <w:t>recycling</w:t>
      </w:r>
      <w:proofErr w:type="spellEnd"/>
      <w:r w:rsidR="001A1CA2" w:rsidRPr="007A05A5">
        <w:t xml:space="preserve">, </w:t>
      </w:r>
      <w:r w:rsidR="009552F2">
        <w:t>D</w:t>
      </w:r>
      <w:r w:rsidR="001A1CA2" w:rsidRPr="007A05A5">
        <w:t>e/</w:t>
      </w:r>
      <w:r w:rsidR="001A1CA2">
        <w:t>r</w:t>
      </w:r>
      <w:r w:rsidR="001A1CA2" w:rsidRPr="007A05A5">
        <w:t>e/</w:t>
      </w:r>
      <w:proofErr w:type="spellStart"/>
      <w:r w:rsidR="001A1CA2">
        <w:t>m</w:t>
      </w:r>
      <w:r w:rsidR="001A1CA2" w:rsidRPr="007A05A5">
        <w:t>anufacturing</w:t>
      </w:r>
      <w:proofErr w:type="spellEnd"/>
      <w:r w:rsidR="001A1CA2" w:rsidRPr="007A05A5">
        <w:t xml:space="preserve"> &amp; </w:t>
      </w:r>
      <w:proofErr w:type="spellStart"/>
      <w:r w:rsidR="009552F2">
        <w:t>R</w:t>
      </w:r>
      <w:r w:rsidR="001A1CA2" w:rsidRPr="007A05A5">
        <w:t>epair</w:t>
      </w:r>
      <w:proofErr w:type="spellEnd"/>
      <w:r w:rsidR="001A1CA2">
        <w:t xml:space="preserve">, </w:t>
      </w:r>
      <w:proofErr w:type="spellStart"/>
      <w:r w:rsidR="001A1CA2" w:rsidRPr="007A05A5">
        <w:t>Recycling</w:t>
      </w:r>
      <w:proofErr w:type="spellEnd"/>
      <w:r w:rsidR="001A1CA2">
        <w:t xml:space="preserve">) sont représentés au sein du partenariat regroupant </w:t>
      </w:r>
      <w:r w:rsidR="00B955DE">
        <w:t xml:space="preserve">46 </w:t>
      </w:r>
      <w:r w:rsidR="002264DE" w:rsidRPr="002264DE">
        <w:t>entreprises (</w:t>
      </w:r>
      <w:r w:rsidR="00B955DE">
        <w:t xml:space="preserve">23 </w:t>
      </w:r>
      <w:r w:rsidR="002264DE" w:rsidRPr="002264DE">
        <w:t xml:space="preserve">GE, </w:t>
      </w:r>
      <w:r w:rsidR="00B955DE">
        <w:t xml:space="preserve">23 </w:t>
      </w:r>
      <w:r w:rsidR="002264DE" w:rsidRPr="002264DE">
        <w:t>PME) dynamiques et innovante</w:t>
      </w:r>
      <w:r w:rsidR="002264DE">
        <w:t xml:space="preserve">s, </w:t>
      </w:r>
      <w:r w:rsidR="00B955DE">
        <w:t>9</w:t>
      </w:r>
      <w:r w:rsidR="002264DE" w:rsidRPr="002264DE">
        <w:t xml:space="preserve"> centres de recherches disposant d’infrastructures remarquables</w:t>
      </w:r>
      <w:r w:rsidR="00294723">
        <w:t>,</w:t>
      </w:r>
      <w:r w:rsidR="002264DE" w:rsidRPr="002264DE">
        <w:t xml:space="preserve"> </w:t>
      </w:r>
      <w:r w:rsidR="00B955DE">
        <w:t>4</w:t>
      </w:r>
      <w:r w:rsidR="002264DE" w:rsidRPr="002264DE">
        <w:t xml:space="preserve"> universités reconnues à l’internationa</w:t>
      </w:r>
      <w:r w:rsidR="00B9403E">
        <w:t>l</w:t>
      </w:r>
      <w:r w:rsidR="002264DE">
        <w:t xml:space="preserve">, </w:t>
      </w:r>
      <w:r w:rsidR="00B955DE">
        <w:t xml:space="preserve">ainsi que 24 </w:t>
      </w:r>
      <w:r w:rsidR="002264DE" w:rsidRPr="002264DE">
        <w:t>organisations et institutions du secteur public</w:t>
      </w:r>
      <w:r w:rsidR="002264DE">
        <w:t xml:space="preserve"> </w:t>
      </w:r>
      <w:r w:rsidR="00B955DE">
        <w:t>(</w:t>
      </w:r>
      <w:proofErr w:type="spellStart"/>
      <w:r w:rsidR="00B955DE">
        <w:t>invests</w:t>
      </w:r>
      <w:proofErr w:type="spellEnd"/>
      <w:r w:rsidR="00B955DE">
        <w:t>, pôles, intercommunales, villes...)</w:t>
      </w:r>
      <w:r w:rsidR="00B955DE">
        <w:t>.</w:t>
      </w:r>
      <w:r w:rsidR="00E3584C" w:rsidRPr="00E3584C">
        <w:t xml:space="preserve"> </w:t>
      </w:r>
      <w:r w:rsidR="00E3584C">
        <w:t>L’IIS est structurée autour des axes suivants :</w:t>
      </w:r>
    </w:p>
    <w:p w14:paraId="09EDEEC0" w14:textId="0883F925" w:rsidR="00E3584C" w:rsidRDefault="00E3584C" w:rsidP="00E3584C">
      <w:pPr>
        <w:jc w:val="both"/>
      </w:pPr>
      <w:r>
        <w:t>•</w:t>
      </w:r>
      <w:r>
        <w:tab/>
        <w:t>Axe transversal (compétences, synergies, ressources, projets à intérêt intersectoriel/multi-matériaux)</w:t>
      </w:r>
      <w:r w:rsidR="009552F2">
        <w:t>,</w:t>
      </w:r>
      <w:r w:rsidR="001A1CA2">
        <w:t xml:space="preserve"> coordonné par le CRM</w:t>
      </w:r>
      <w:r w:rsidR="009552F2">
        <w:t xml:space="preserve"> Group (chef de file de l’IIS)</w:t>
      </w:r>
      <w:r w:rsidR="00B0163C">
        <w:t> ;</w:t>
      </w:r>
    </w:p>
    <w:p w14:paraId="07ECE2CB" w14:textId="0D273CA6" w:rsidR="00E3584C" w:rsidRDefault="00E3584C" w:rsidP="00E3584C">
      <w:pPr>
        <w:jc w:val="both"/>
      </w:pPr>
      <w:r>
        <w:t>•</w:t>
      </w:r>
      <w:r>
        <w:tab/>
        <w:t>Axe Métaux</w:t>
      </w:r>
      <w:r w:rsidR="001A1CA2">
        <w:t xml:space="preserve"> (</w:t>
      </w:r>
      <w:r w:rsidR="009552F2">
        <w:t xml:space="preserve">coordonné par </w:t>
      </w:r>
      <w:r w:rsidR="001A1CA2">
        <w:t xml:space="preserve">CRM </w:t>
      </w:r>
      <w:r w:rsidR="009552F2">
        <w:t xml:space="preserve">Group </w:t>
      </w:r>
      <w:r w:rsidR="001A1CA2">
        <w:t xml:space="preserve">et </w:t>
      </w:r>
      <w:proofErr w:type="spellStart"/>
      <w:r w:rsidR="001A1CA2">
        <w:t>ULiège</w:t>
      </w:r>
      <w:proofErr w:type="spellEnd"/>
      <w:r w:rsidR="001A1CA2">
        <w:t>)</w:t>
      </w:r>
      <w:r w:rsidR="00B0163C">
        <w:t> ;</w:t>
      </w:r>
    </w:p>
    <w:p w14:paraId="25C52B36" w14:textId="1A05559C" w:rsidR="00E3584C" w:rsidRDefault="00E3584C" w:rsidP="00E3584C">
      <w:pPr>
        <w:jc w:val="both"/>
      </w:pPr>
      <w:r>
        <w:t>•</w:t>
      </w:r>
      <w:r>
        <w:tab/>
        <w:t>Axe Minéraux</w:t>
      </w:r>
      <w:r w:rsidR="001A1CA2">
        <w:t xml:space="preserve"> (</w:t>
      </w:r>
      <w:r w:rsidR="009552F2">
        <w:t xml:space="preserve">coordonné par le </w:t>
      </w:r>
      <w:r w:rsidR="001A1CA2">
        <w:t>CTP)</w:t>
      </w:r>
      <w:r w:rsidR="00B0163C">
        <w:t> ;</w:t>
      </w:r>
    </w:p>
    <w:p w14:paraId="72712D2E" w14:textId="1C067291" w:rsidR="00B62780" w:rsidRPr="009552F2" w:rsidRDefault="00E3584C" w:rsidP="009552F2">
      <w:pPr>
        <w:jc w:val="both"/>
      </w:pPr>
      <w:r>
        <w:t>•</w:t>
      </w:r>
      <w:r>
        <w:tab/>
        <w:t>Axe Plastiques et composites</w:t>
      </w:r>
      <w:r w:rsidR="001A1CA2">
        <w:t xml:space="preserve"> (</w:t>
      </w:r>
      <w:r w:rsidR="009552F2">
        <w:t xml:space="preserve">coordonné par </w:t>
      </w:r>
      <w:proofErr w:type="spellStart"/>
      <w:r w:rsidR="001A1CA2">
        <w:t>UMons</w:t>
      </w:r>
      <w:proofErr w:type="spellEnd"/>
      <w:r w:rsidR="001A1CA2">
        <w:t>)</w:t>
      </w:r>
      <w:r w:rsidR="005F5E4A">
        <w:rPr>
          <w:b/>
          <w:bCs/>
          <w:noProof/>
        </w:rPr>
        <w:drawing>
          <wp:anchor distT="0" distB="0" distL="114300" distR="114300" simplePos="0" relativeHeight="251660288" behindDoc="0" locked="0" layoutInCell="1" allowOverlap="1" wp14:anchorId="47D169CC" wp14:editId="364FD1D0">
            <wp:simplePos x="0" y="0"/>
            <wp:positionH relativeFrom="margin">
              <wp:posOffset>-635</wp:posOffset>
            </wp:positionH>
            <wp:positionV relativeFrom="paragraph">
              <wp:posOffset>255905</wp:posOffset>
            </wp:positionV>
            <wp:extent cx="579120" cy="579120"/>
            <wp:effectExtent l="0" t="0" r="0" b="0"/>
            <wp:wrapSquare wrapText="bothSides"/>
            <wp:docPr id="3" name="Graphique 3" descr="Guide opérationnel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Guide opérationnel contou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79120" cy="579120"/>
                    </a:xfrm>
                    <a:prstGeom prst="rect">
                      <a:avLst/>
                    </a:prstGeom>
                  </pic:spPr>
                </pic:pic>
              </a:graphicData>
            </a:graphic>
          </wp:anchor>
        </w:drawing>
      </w:r>
      <w:r w:rsidR="009552F2">
        <w:t>.</w:t>
      </w:r>
    </w:p>
    <w:p w14:paraId="3E77C26F" w14:textId="64EBEAFC" w:rsidR="00365A50" w:rsidRPr="00177574" w:rsidRDefault="00365A50" w:rsidP="00292E2F">
      <w:pPr>
        <w:rPr>
          <w:b/>
          <w:bCs/>
          <w:color w:val="344D6C" w:themeColor="accent6" w:themeShade="80"/>
        </w:rPr>
      </w:pPr>
      <w:r w:rsidRPr="00177574">
        <w:rPr>
          <w:b/>
          <w:bCs/>
          <w:color w:val="344D6C" w:themeColor="accent6" w:themeShade="80"/>
        </w:rPr>
        <w:t>Nos principaux axes de travail :</w:t>
      </w:r>
    </w:p>
    <w:p w14:paraId="7697311A" w14:textId="66B46439" w:rsidR="00E933C3" w:rsidRPr="009552F2" w:rsidRDefault="002264DE" w:rsidP="009552F2">
      <w:pPr>
        <w:jc w:val="both"/>
        <w:rPr>
          <w:color w:val="A6A6A6" w:themeColor="background1" w:themeShade="A6"/>
        </w:rPr>
      </w:pPr>
      <w:r w:rsidRPr="002264DE">
        <w:t xml:space="preserve">Win4C vise à </w:t>
      </w:r>
      <w:r w:rsidR="006D7CE7" w:rsidRPr="002264DE">
        <w:t xml:space="preserve">anticiper les changements majeurs qui s’annoncent dans la gestion de nos ressources et dans la relocalisation d’activités de production, de réparation et de recyclage sur notre territoire. </w:t>
      </w:r>
      <w:r>
        <w:t xml:space="preserve">Pour ce faire, </w:t>
      </w:r>
      <w:r w:rsidR="006D7CE7" w:rsidRPr="002264DE">
        <w:t xml:space="preserve">WIN4C </w:t>
      </w:r>
      <w:r w:rsidR="007771A5" w:rsidRPr="002264DE">
        <w:t xml:space="preserve">mettra en commun </w:t>
      </w:r>
      <w:r w:rsidR="007771A5" w:rsidRPr="002264DE">
        <w:t>des plateformes remarquables de caractérisation, d’élaboration, de traitement et de recyclage des matériaux,</w:t>
      </w:r>
      <w:r w:rsidR="007771A5" w:rsidRPr="002264DE">
        <w:t xml:space="preserve"> </w:t>
      </w:r>
      <w:r w:rsidR="006D7CE7" w:rsidRPr="002264DE">
        <w:t>f</w:t>
      </w:r>
      <w:r w:rsidR="007771A5" w:rsidRPr="002264DE">
        <w:t>era</w:t>
      </w:r>
      <w:r w:rsidR="006D7CE7" w:rsidRPr="002264DE">
        <w:t xml:space="preserve"> dialoguer ses membres sur la stratégie de recherche-innovation, activer</w:t>
      </w:r>
      <w:r w:rsidR="007771A5" w:rsidRPr="002264DE">
        <w:t>a</w:t>
      </w:r>
      <w:r w:rsidR="006D7CE7" w:rsidRPr="002264DE">
        <w:t xml:space="preserve"> les soutiens possibles au niveau européen, accompagner</w:t>
      </w:r>
      <w:r w:rsidR="007771A5" w:rsidRPr="002264DE">
        <w:t>a</w:t>
      </w:r>
      <w:r w:rsidR="006D7CE7" w:rsidRPr="002264DE">
        <w:t xml:space="preserve"> la création d’activités nouvelles, développer</w:t>
      </w:r>
      <w:r w:rsidR="007771A5" w:rsidRPr="002264DE">
        <w:t>a</w:t>
      </w:r>
      <w:r w:rsidR="006D7CE7" w:rsidRPr="002264DE">
        <w:t xml:space="preserve"> les offres de formation et de sensibilisation à l’économie circulaire des matériaux technologiques</w:t>
      </w:r>
      <w:r w:rsidR="007771A5" w:rsidRPr="002264DE">
        <w:t>,</w:t>
      </w:r>
      <w:r w:rsidR="006D7CE7" w:rsidRPr="002264DE">
        <w:t xml:space="preserve"> </w:t>
      </w:r>
      <w:r w:rsidR="007771A5" w:rsidRPr="002264DE">
        <w:t xml:space="preserve">et </w:t>
      </w:r>
      <w:r w:rsidR="006D7CE7" w:rsidRPr="002264DE">
        <w:t>veillera également à développer une véritable expertise en rapport avec l’analyse du cycle de vie et le respect des critères du financement durable</w:t>
      </w:r>
      <w:r>
        <w:t>.</w:t>
      </w:r>
    </w:p>
    <w:tbl>
      <w:tblPr>
        <w:tblW w:w="9720" w:type="dxa"/>
        <w:tblLayout w:type="fixed"/>
        <w:tblLook w:val="04A0" w:firstRow="1" w:lastRow="0" w:firstColumn="1" w:lastColumn="0" w:noHBand="0" w:noVBand="1"/>
      </w:tblPr>
      <w:tblGrid>
        <w:gridCol w:w="3818"/>
        <w:gridCol w:w="5902"/>
      </w:tblGrid>
      <w:tr w:rsidR="00E933C3" w14:paraId="4D9566AB" w14:textId="77777777" w:rsidTr="00294723">
        <w:trPr>
          <w:trHeight w:val="300"/>
        </w:trPr>
        <w:tc>
          <w:tcPr>
            <w:tcW w:w="3818" w:type="dxa"/>
            <w:tcBorders>
              <w:top w:val="single" w:sz="8" w:space="0" w:color="auto"/>
              <w:left w:val="single" w:sz="8" w:space="0" w:color="auto"/>
              <w:bottom w:val="single" w:sz="8" w:space="0" w:color="auto"/>
              <w:right w:val="single" w:sz="8" w:space="0" w:color="auto"/>
            </w:tcBorders>
          </w:tcPr>
          <w:p w14:paraId="2143AAB5" w14:textId="77777777" w:rsidR="00E933C3" w:rsidRDefault="00E933C3" w:rsidP="00CE5527">
            <w:pPr>
              <w:spacing w:after="0"/>
              <w:jc w:val="center"/>
              <w:rPr>
                <w:rFonts w:ascii="Arial" w:eastAsia="Arial" w:hAnsi="Arial" w:cs="Arial"/>
                <w:sz w:val="20"/>
                <w:szCs w:val="20"/>
              </w:rPr>
            </w:pPr>
            <w:r w:rsidRPr="61D32618">
              <w:rPr>
                <w:rFonts w:ascii="Arial" w:eastAsia="Arial" w:hAnsi="Arial" w:cs="Arial"/>
                <w:b/>
                <w:bCs/>
                <w:i/>
                <w:iCs/>
                <w:sz w:val="20"/>
                <w:szCs w:val="20"/>
              </w:rPr>
              <w:t>DIS</w:t>
            </w:r>
            <w:r w:rsidRPr="61D32618">
              <w:rPr>
                <w:rFonts w:ascii="Arial" w:eastAsia="Arial" w:hAnsi="Arial" w:cs="Arial"/>
                <w:sz w:val="20"/>
                <w:szCs w:val="20"/>
              </w:rPr>
              <w:t xml:space="preserve"> </w:t>
            </w:r>
          </w:p>
        </w:tc>
        <w:tc>
          <w:tcPr>
            <w:tcW w:w="5902" w:type="dxa"/>
            <w:tcBorders>
              <w:top w:val="single" w:sz="8" w:space="0" w:color="auto"/>
              <w:left w:val="single" w:sz="8" w:space="0" w:color="auto"/>
              <w:bottom w:val="single" w:sz="8" w:space="0" w:color="auto"/>
              <w:right w:val="single" w:sz="8" w:space="0" w:color="auto"/>
            </w:tcBorders>
          </w:tcPr>
          <w:p w14:paraId="3BF8A9C3" w14:textId="77777777" w:rsidR="00E933C3" w:rsidRDefault="00E933C3" w:rsidP="00CE5527">
            <w:pPr>
              <w:spacing w:after="0"/>
              <w:jc w:val="center"/>
              <w:rPr>
                <w:rFonts w:ascii="Arial" w:eastAsia="Arial" w:hAnsi="Arial" w:cs="Arial"/>
                <w:sz w:val="20"/>
                <w:szCs w:val="20"/>
              </w:rPr>
            </w:pPr>
            <w:r w:rsidRPr="61D32618">
              <w:rPr>
                <w:rFonts w:ascii="Arial" w:eastAsia="Arial" w:hAnsi="Arial" w:cs="Arial"/>
                <w:b/>
                <w:bCs/>
                <w:i/>
                <w:iCs/>
                <w:sz w:val="20"/>
                <w:szCs w:val="20"/>
              </w:rPr>
              <w:t>Aire(s) stratégique(s) visée(s)</w:t>
            </w:r>
            <w:r w:rsidRPr="61D32618">
              <w:rPr>
                <w:rFonts w:ascii="Arial" w:eastAsia="Arial" w:hAnsi="Arial" w:cs="Arial"/>
                <w:sz w:val="20"/>
                <w:szCs w:val="20"/>
              </w:rPr>
              <w:t xml:space="preserve"> </w:t>
            </w:r>
          </w:p>
        </w:tc>
      </w:tr>
      <w:tr w:rsidR="00E933C3" w14:paraId="24C32031" w14:textId="77777777" w:rsidTr="00294723">
        <w:tc>
          <w:tcPr>
            <w:tcW w:w="3818" w:type="dxa"/>
            <w:tcBorders>
              <w:top w:val="single" w:sz="8" w:space="0" w:color="auto"/>
              <w:left w:val="single" w:sz="8" w:space="0" w:color="auto"/>
              <w:bottom w:val="single" w:sz="8" w:space="0" w:color="auto"/>
              <w:right w:val="single" w:sz="8" w:space="0" w:color="auto"/>
            </w:tcBorders>
          </w:tcPr>
          <w:p w14:paraId="77909D3D" w14:textId="1F39F8AC" w:rsidR="00E933C3" w:rsidRPr="009552F2" w:rsidRDefault="00E933C3" w:rsidP="00CE5527">
            <w:pPr>
              <w:spacing w:after="0"/>
              <w:jc w:val="both"/>
              <w:rPr>
                <w:rFonts w:ascii="Arial" w:eastAsia="Arial" w:hAnsi="Arial" w:cs="Arial"/>
                <w:b/>
                <w:sz w:val="18"/>
                <w:szCs w:val="18"/>
              </w:rPr>
            </w:pPr>
            <w:r w:rsidRPr="009552F2">
              <w:rPr>
                <w:i/>
                <w:iCs/>
                <w:noProof/>
                <w:sz w:val="18"/>
                <w:szCs w:val="18"/>
              </w:rPr>
              <w:drawing>
                <wp:anchor distT="0" distB="0" distL="114300" distR="114300" simplePos="0" relativeHeight="251662336" behindDoc="1" locked="0" layoutInCell="1" allowOverlap="1" wp14:anchorId="7B81525D" wp14:editId="6C44C4FE">
                  <wp:simplePos x="0" y="0"/>
                  <wp:positionH relativeFrom="column">
                    <wp:posOffset>1882775</wp:posOffset>
                  </wp:positionH>
                  <wp:positionV relativeFrom="paragraph">
                    <wp:posOffset>108585</wp:posOffset>
                  </wp:positionV>
                  <wp:extent cx="396240" cy="3962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anchor>
              </w:drawing>
            </w:r>
            <w:r w:rsidRPr="009552F2">
              <w:rPr>
                <w:rFonts w:ascii="Arial" w:eastAsia="Arial" w:hAnsi="Arial" w:cs="Arial"/>
                <w:b/>
                <w:bCs/>
                <w:i/>
                <w:iCs/>
                <w:sz w:val="18"/>
                <w:szCs w:val="18"/>
              </w:rPr>
              <w:t xml:space="preserve">   </w:t>
            </w:r>
            <w:r w:rsidRPr="009552F2">
              <w:rPr>
                <w:rFonts w:ascii="Arial" w:eastAsia="Arial" w:hAnsi="Arial" w:cs="Arial"/>
                <w:b/>
                <w:bCs/>
                <w:i/>
                <w:iCs/>
                <w:sz w:val="18"/>
                <w:szCs w:val="18"/>
              </w:rPr>
              <w:t>DIS Matériaux Circulaires</w:t>
            </w:r>
            <w:r w:rsidRPr="009552F2">
              <w:rPr>
                <w:rFonts w:ascii="Arial" w:eastAsia="Arial" w:hAnsi="Arial" w:cs="Arial"/>
                <w:b/>
                <w:bCs/>
                <w:sz w:val="18"/>
                <w:szCs w:val="18"/>
              </w:rPr>
              <w:t xml:space="preserve"> </w:t>
            </w:r>
          </w:p>
        </w:tc>
        <w:tc>
          <w:tcPr>
            <w:tcW w:w="5902" w:type="dxa"/>
            <w:tcBorders>
              <w:top w:val="single" w:sz="8" w:space="0" w:color="auto"/>
              <w:left w:val="single" w:sz="8" w:space="0" w:color="auto"/>
              <w:bottom w:val="single" w:sz="8" w:space="0" w:color="auto"/>
              <w:right w:val="single" w:sz="8" w:space="0" w:color="auto"/>
            </w:tcBorders>
          </w:tcPr>
          <w:p w14:paraId="01ED1551" w14:textId="77777777" w:rsidR="00E933C3" w:rsidRPr="009552F2" w:rsidRDefault="00E933C3" w:rsidP="00E933C3">
            <w:pPr>
              <w:pStyle w:val="ListParagraph"/>
              <w:numPr>
                <w:ilvl w:val="0"/>
                <w:numId w:val="6"/>
              </w:numPr>
              <w:spacing w:after="0" w:line="276" w:lineRule="auto"/>
              <w:rPr>
                <w:rFonts w:ascii="Arial" w:eastAsia="Arial" w:hAnsi="Arial" w:cs="Arial"/>
                <w:b/>
                <w:sz w:val="18"/>
                <w:szCs w:val="18"/>
              </w:rPr>
            </w:pPr>
            <w:r w:rsidRPr="009552F2">
              <w:rPr>
                <w:rFonts w:ascii="Arial" w:eastAsia="Arial" w:hAnsi="Arial" w:cs="Arial"/>
                <w:b/>
                <w:sz w:val="18"/>
                <w:szCs w:val="18"/>
              </w:rPr>
              <w:t>Modes de production circulaires</w:t>
            </w:r>
            <w:r w:rsidRPr="009552F2">
              <w:rPr>
                <w:rFonts w:ascii="Arial" w:eastAsia="Arial" w:hAnsi="Arial" w:cs="Arial"/>
                <w:sz w:val="18"/>
                <w:szCs w:val="18"/>
              </w:rPr>
              <w:t xml:space="preserve"> ;</w:t>
            </w:r>
          </w:p>
          <w:p w14:paraId="7F57641E" w14:textId="77777777" w:rsidR="00E933C3" w:rsidRPr="009552F2" w:rsidRDefault="00E933C3" w:rsidP="00E933C3">
            <w:pPr>
              <w:pStyle w:val="ListParagraph"/>
              <w:numPr>
                <w:ilvl w:val="0"/>
                <w:numId w:val="6"/>
              </w:numPr>
              <w:spacing w:after="0" w:line="276" w:lineRule="auto"/>
              <w:rPr>
                <w:rFonts w:ascii="Arial" w:eastAsia="Arial" w:hAnsi="Arial" w:cs="Arial"/>
                <w:sz w:val="18"/>
                <w:szCs w:val="18"/>
              </w:rPr>
            </w:pPr>
            <w:r w:rsidRPr="009552F2">
              <w:rPr>
                <w:rFonts w:ascii="Arial" w:eastAsia="Arial" w:hAnsi="Arial" w:cs="Arial"/>
                <w:sz w:val="18"/>
                <w:szCs w:val="18"/>
              </w:rPr>
              <w:t>Modes de distribution, consommation et logistique circulaires ;</w:t>
            </w:r>
          </w:p>
          <w:p w14:paraId="56A8CCBC" w14:textId="77777777" w:rsidR="00E933C3" w:rsidRPr="009552F2" w:rsidRDefault="00E933C3" w:rsidP="00E933C3">
            <w:pPr>
              <w:pStyle w:val="ListParagraph"/>
              <w:numPr>
                <w:ilvl w:val="0"/>
                <w:numId w:val="6"/>
              </w:numPr>
              <w:spacing w:after="0" w:line="276" w:lineRule="auto"/>
              <w:rPr>
                <w:rFonts w:ascii="Arial" w:eastAsia="Arial" w:hAnsi="Arial" w:cs="Arial"/>
                <w:sz w:val="18"/>
                <w:szCs w:val="18"/>
              </w:rPr>
            </w:pPr>
            <w:r w:rsidRPr="009552F2">
              <w:rPr>
                <w:rFonts w:ascii="Arial" w:eastAsia="Arial" w:hAnsi="Arial" w:cs="Arial"/>
                <w:sz w:val="18"/>
                <w:szCs w:val="18"/>
              </w:rPr>
              <w:t xml:space="preserve">Business </w:t>
            </w:r>
            <w:proofErr w:type="spellStart"/>
            <w:r w:rsidRPr="009552F2">
              <w:rPr>
                <w:rFonts w:ascii="Arial" w:eastAsia="Arial" w:hAnsi="Arial" w:cs="Arial"/>
                <w:sz w:val="18"/>
                <w:szCs w:val="18"/>
              </w:rPr>
              <w:t>models</w:t>
            </w:r>
            <w:proofErr w:type="spellEnd"/>
            <w:r w:rsidRPr="009552F2">
              <w:rPr>
                <w:rFonts w:ascii="Arial" w:eastAsia="Arial" w:hAnsi="Arial" w:cs="Arial"/>
                <w:sz w:val="18"/>
                <w:szCs w:val="18"/>
              </w:rPr>
              <w:t xml:space="preserve"> circulaires.</w:t>
            </w:r>
          </w:p>
        </w:tc>
      </w:tr>
      <w:tr w:rsidR="00E933C3" w14:paraId="71C11916" w14:textId="77777777" w:rsidTr="00294723">
        <w:tc>
          <w:tcPr>
            <w:tcW w:w="3818" w:type="dxa"/>
            <w:tcBorders>
              <w:top w:val="single" w:sz="8" w:space="0" w:color="auto"/>
              <w:left w:val="single" w:sz="8" w:space="0" w:color="auto"/>
              <w:bottom w:val="single" w:sz="8" w:space="0" w:color="auto"/>
              <w:right w:val="single" w:sz="8" w:space="0" w:color="auto"/>
            </w:tcBorders>
          </w:tcPr>
          <w:p w14:paraId="6CB6ADBF" w14:textId="330CD2E6" w:rsidR="00E933C3" w:rsidRPr="009552F2" w:rsidRDefault="00694874" w:rsidP="00CE5527">
            <w:pPr>
              <w:spacing w:after="0"/>
              <w:jc w:val="both"/>
              <w:rPr>
                <w:rFonts w:ascii="Arial" w:eastAsia="Arial" w:hAnsi="Arial" w:cs="Arial"/>
                <w:sz w:val="18"/>
                <w:szCs w:val="18"/>
              </w:rPr>
            </w:pPr>
            <w:r w:rsidRPr="009552F2">
              <w:rPr>
                <w:i/>
                <w:iCs/>
                <w:noProof/>
                <w:sz w:val="18"/>
                <w:szCs w:val="18"/>
              </w:rPr>
              <w:drawing>
                <wp:anchor distT="0" distB="0" distL="114300" distR="114300" simplePos="0" relativeHeight="251663360" behindDoc="1" locked="0" layoutInCell="1" allowOverlap="1" wp14:anchorId="4435E986" wp14:editId="449CF5A6">
                  <wp:simplePos x="0" y="0"/>
                  <wp:positionH relativeFrom="column">
                    <wp:posOffset>1930400</wp:posOffset>
                  </wp:positionH>
                  <wp:positionV relativeFrom="paragraph">
                    <wp:posOffset>95250</wp:posOffset>
                  </wp:positionV>
                  <wp:extent cx="419100" cy="419100"/>
                  <wp:effectExtent l="0" t="0" r="0" b="0"/>
                  <wp:wrapThrough wrapText="bothSides">
                    <wp:wrapPolygon edited="0">
                      <wp:start x="2945" y="4909"/>
                      <wp:lineTo x="1964" y="8836"/>
                      <wp:lineTo x="2945" y="15709"/>
                      <wp:lineTo x="17673" y="15709"/>
                      <wp:lineTo x="17673" y="4909"/>
                      <wp:lineTo x="2945" y="4909"/>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anchor>
              </w:drawing>
            </w:r>
            <w:r w:rsidR="00E933C3" w:rsidRPr="009552F2">
              <w:rPr>
                <w:rFonts w:ascii="Arial" w:eastAsia="Arial" w:hAnsi="Arial" w:cs="Arial"/>
                <w:i/>
                <w:iCs/>
                <w:sz w:val="18"/>
                <w:szCs w:val="18"/>
              </w:rPr>
              <w:t>Dis Innovations pour des modes de production et de conception agiles et sûrs</w:t>
            </w:r>
            <w:r w:rsidR="00E933C3" w:rsidRPr="009552F2">
              <w:rPr>
                <w:rFonts w:ascii="Arial" w:eastAsia="Arial" w:hAnsi="Arial" w:cs="Arial"/>
                <w:sz w:val="18"/>
                <w:szCs w:val="18"/>
              </w:rPr>
              <w:t xml:space="preserve"> </w:t>
            </w:r>
          </w:p>
        </w:tc>
        <w:tc>
          <w:tcPr>
            <w:tcW w:w="5902" w:type="dxa"/>
            <w:tcBorders>
              <w:top w:val="single" w:sz="8" w:space="0" w:color="auto"/>
              <w:left w:val="single" w:sz="8" w:space="0" w:color="auto"/>
              <w:bottom w:val="single" w:sz="8" w:space="0" w:color="auto"/>
              <w:right w:val="single" w:sz="8" w:space="0" w:color="auto"/>
            </w:tcBorders>
          </w:tcPr>
          <w:p w14:paraId="37347033" w14:textId="77777777" w:rsidR="00E933C3" w:rsidRPr="009552F2" w:rsidRDefault="00E933C3" w:rsidP="00E933C3">
            <w:pPr>
              <w:pStyle w:val="ListParagraph"/>
              <w:numPr>
                <w:ilvl w:val="0"/>
                <w:numId w:val="6"/>
              </w:numPr>
              <w:spacing w:after="0" w:line="276" w:lineRule="auto"/>
              <w:rPr>
                <w:rFonts w:ascii="Arial" w:eastAsia="Arial" w:hAnsi="Arial" w:cs="Arial"/>
                <w:sz w:val="18"/>
                <w:szCs w:val="18"/>
              </w:rPr>
            </w:pPr>
            <w:r w:rsidRPr="009552F2">
              <w:rPr>
                <w:rFonts w:ascii="Arial" w:eastAsia="Arial" w:hAnsi="Arial" w:cs="Arial"/>
                <w:sz w:val="18"/>
                <w:szCs w:val="18"/>
              </w:rPr>
              <w:t xml:space="preserve">Remanufacturing, optimisation des ressources et nouveaux business modèles : inclusion de la dimension environnementale, circulaire et régénératrice </w:t>
            </w:r>
          </w:p>
        </w:tc>
      </w:tr>
      <w:tr w:rsidR="00E933C3" w14:paraId="72035997" w14:textId="77777777" w:rsidTr="00294723">
        <w:trPr>
          <w:trHeight w:val="585"/>
        </w:trPr>
        <w:tc>
          <w:tcPr>
            <w:tcW w:w="3818" w:type="dxa"/>
            <w:tcBorders>
              <w:top w:val="single" w:sz="8" w:space="0" w:color="auto"/>
              <w:left w:val="single" w:sz="8" w:space="0" w:color="auto"/>
              <w:bottom w:val="single" w:sz="8" w:space="0" w:color="auto"/>
              <w:right w:val="single" w:sz="8" w:space="0" w:color="auto"/>
            </w:tcBorders>
          </w:tcPr>
          <w:p w14:paraId="6ED2A1E4" w14:textId="2730FD13" w:rsidR="00694874" w:rsidRPr="009552F2" w:rsidRDefault="00694874" w:rsidP="00CE5527">
            <w:pPr>
              <w:spacing w:after="0"/>
              <w:jc w:val="both"/>
              <w:rPr>
                <w:rFonts w:ascii="Arial" w:eastAsia="Arial" w:hAnsi="Arial" w:cs="Arial"/>
                <w:sz w:val="18"/>
                <w:szCs w:val="18"/>
              </w:rPr>
            </w:pPr>
            <w:r w:rsidRPr="009552F2">
              <w:rPr>
                <w:i/>
                <w:iCs/>
                <w:noProof/>
                <w:sz w:val="18"/>
                <w:szCs w:val="18"/>
              </w:rPr>
              <w:drawing>
                <wp:anchor distT="0" distB="0" distL="114300" distR="114300" simplePos="0" relativeHeight="251664384" behindDoc="1" locked="0" layoutInCell="1" allowOverlap="1" wp14:anchorId="733E188F" wp14:editId="70ABF2AD">
                  <wp:simplePos x="0" y="0"/>
                  <wp:positionH relativeFrom="column">
                    <wp:posOffset>1953260</wp:posOffset>
                  </wp:positionH>
                  <wp:positionV relativeFrom="paragraph">
                    <wp:posOffset>3175</wp:posOffset>
                  </wp:positionV>
                  <wp:extent cx="396240" cy="396240"/>
                  <wp:effectExtent l="0" t="0" r="0" b="0"/>
                  <wp:wrapThrough wrapText="bothSides">
                    <wp:wrapPolygon edited="0">
                      <wp:start x="5192" y="1038"/>
                      <wp:lineTo x="4154" y="5192"/>
                      <wp:lineTo x="5192" y="14538"/>
                      <wp:lineTo x="6231" y="18692"/>
                      <wp:lineTo x="12462" y="18692"/>
                      <wp:lineTo x="14538" y="5192"/>
                      <wp:lineTo x="13500" y="1038"/>
                      <wp:lineTo x="5192" y="1038"/>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anchor>
              </w:drawing>
            </w:r>
            <w:r w:rsidR="00E933C3" w:rsidRPr="009552F2">
              <w:rPr>
                <w:rFonts w:ascii="Arial" w:eastAsia="Arial" w:hAnsi="Arial" w:cs="Arial"/>
                <w:i/>
                <w:iCs/>
                <w:sz w:val="18"/>
                <w:szCs w:val="18"/>
              </w:rPr>
              <w:t>DIS Systèmes énergétiques et habitat durables</w:t>
            </w:r>
          </w:p>
          <w:p w14:paraId="17EC428D" w14:textId="006CF3D3" w:rsidR="00694874" w:rsidRPr="009552F2" w:rsidRDefault="00694874" w:rsidP="00CE5527">
            <w:pPr>
              <w:spacing w:after="0"/>
              <w:jc w:val="both"/>
              <w:rPr>
                <w:rFonts w:ascii="Arial" w:eastAsia="Arial" w:hAnsi="Arial" w:cs="Arial"/>
                <w:sz w:val="18"/>
                <w:szCs w:val="18"/>
              </w:rPr>
            </w:pPr>
          </w:p>
        </w:tc>
        <w:tc>
          <w:tcPr>
            <w:tcW w:w="5902" w:type="dxa"/>
            <w:tcBorders>
              <w:top w:val="single" w:sz="8" w:space="0" w:color="auto"/>
              <w:left w:val="single" w:sz="8" w:space="0" w:color="auto"/>
              <w:bottom w:val="single" w:sz="8" w:space="0" w:color="auto"/>
              <w:right w:val="single" w:sz="8" w:space="0" w:color="auto"/>
            </w:tcBorders>
          </w:tcPr>
          <w:p w14:paraId="5DC1E1E1" w14:textId="77777777" w:rsidR="00E933C3" w:rsidRPr="009552F2" w:rsidRDefault="00E933C3" w:rsidP="00E933C3">
            <w:pPr>
              <w:pStyle w:val="ListParagraph"/>
              <w:numPr>
                <w:ilvl w:val="0"/>
                <w:numId w:val="6"/>
              </w:numPr>
              <w:spacing w:after="0" w:line="276" w:lineRule="auto"/>
              <w:rPr>
                <w:rFonts w:ascii="Arial" w:eastAsia="Arial" w:hAnsi="Arial" w:cs="Arial"/>
                <w:sz w:val="18"/>
                <w:szCs w:val="18"/>
              </w:rPr>
            </w:pPr>
            <w:r w:rsidRPr="009552F2">
              <w:rPr>
                <w:rFonts w:ascii="Arial" w:eastAsia="Arial" w:hAnsi="Arial" w:cs="Arial"/>
                <w:sz w:val="18"/>
                <w:szCs w:val="18"/>
              </w:rPr>
              <w:t xml:space="preserve">Outils de conception, méthodes et éléments constructifs des bâtiments </w:t>
            </w:r>
          </w:p>
        </w:tc>
      </w:tr>
    </w:tbl>
    <w:p w14:paraId="2CE9554E" w14:textId="5883F584" w:rsidR="00C125D2" w:rsidRPr="00B62780" w:rsidRDefault="00C125D2" w:rsidP="00292E2F">
      <w:pPr>
        <w:rPr>
          <w:i/>
          <w:iCs/>
        </w:rPr>
      </w:pPr>
    </w:p>
    <w:p w14:paraId="35C1FBF9" w14:textId="7BA8CC95" w:rsidR="00E22374" w:rsidRPr="00E22374" w:rsidRDefault="00C125D2" w:rsidP="00292E2F">
      <w:pPr>
        <w:rPr>
          <w:b/>
          <w:bCs/>
          <w:color w:val="344D6C" w:themeColor="accent6" w:themeShade="80"/>
        </w:rPr>
      </w:pPr>
      <w:r>
        <w:rPr>
          <w:b/>
          <w:bCs/>
          <w:noProof/>
          <w:color w:val="809EC2" w:themeColor="accent6"/>
        </w:rPr>
        <w:drawing>
          <wp:anchor distT="0" distB="0" distL="114300" distR="114300" simplePos="0" relativeHeight="251661312" behindDoc="0" locked="0" layoutInCell="1" allowOverlap="1" wp14:anchorId="3B50BDDA" wp14:editId="15BD5BE1">
            <wp:simplePos x="0" y="0"/>
            <wp:positionH relativeFrom="margin">
              <wp:align>left</wp:align>
            </wp:positionH>
            <wp:positionV relativeFrom="paragraph">
              <wp:posOffset>13335</wp:posOffset>
            </wp:positionV>
            <wp:extent cx="457200" cy="457200"/>
            <wp:effectExtent l="0" t="0" r="0" b="0"/>
            <wp:wrapSquare wrapText="bothSides"/>
            <wp:docPr id="4" name="Graphique 4" descr="Adresse de courrier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dresse de courrier contou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7200" cy="457200"/>
                    </a:xfrm>
                    <a:prstGeom prst="rect">
                      <a:avLst/>
                    </a:prstGeom>
                  </pic:spPr>
                </pic:pic>
              </a:graphicData>
            </a:graphic>
          </wp:anchor>
        </w:drawing>
      </w:r>
      <w:r w:rsidR="00E22374" w:rsidRPr="00E22374">
        <w:rPr>
          <w:b/>
          <w:bCs/>
          <w:color w:val="344D6C" w:themeColor="accent6" w:themeShade="80"/>
        </w:rPr>
        <w:t>Contact :</w:t>
      </w:r>
    </w:p>
    <w:p w14:paraId="31972E6E" w14:textId="362A66B4" w:rsidR="00694874" w:rsidRPr="00694874" w:rsidRDefault="00694874" w:rsidP="418051B9">
      <w:pPr>
        <w:rPr>
          <w:i/>
          <w:iCs/>
          <w:color w:val="FF0000"/>
          <w:lang w:val="fr-BE"/>
        </w:rPr>
      </w:pPr>
      <w:hyperlink r:id="rId21" w:history="1">
        <w:r w:rsidRPr="00415A51">
          <w:rPr>
            <w:rStyle w:val="Hyperlink"/>
            <w:i/>
            <w:iCs/>
            <w:lang w:val="fr-BE"/>
          </w:rPr>
          <w:t>Joeri.Neutjens@crmgroup.be</w:t>
        </w:r>
      </w:hyperlink>
      <w:r w:rsidRPr="00694874">
        <w:rPr>
          <w:i/>
          <w:iCs/>
          <w:lang w:val="fr-BE"/>
        </w:rPr>
        <w:t xml:space="preserve">  </w:t>
      </w:r>
      <w:r w:rsidRPr="00694874">
        <w:rPr>
          <w:i/>
          <w:iCs/>
          <w:color w:val="FF0000"/>
          <w:lang w:val="fr-BE"/>
        </w:rPr>
        <w:t>(</w:t>
      </w:r>
      <w:r>
        <w:rPr>
          <w:i/>
          <w:iCs/>
          <w:color w:val="FF0000"/>
          <w:lang w:val="fr-BE"/>
        </w:rPr>
        <w:t>ou pourquoi pas</w:t>
      </w:r>
      <w:r w:rsidRPr="00694874">
        <w:rPr>
          <w:i/>
          <w:iCs/>
          <w:color w:val="FF0000"/>
          <w:lang w:val="fr-BE"/>
        </w:rPr>
        <w:t xml:space="preserve"> créer une adresse </w:t>
      </w:r>
      <w:hyperlink r:id="rId22" w:history="1">
        <w:r w:rsidRPr="00694874">
          <w:rPr>
            <w:rStyle w:val="Hyperlink"/>
            <w:i/>
            <w:iCs/>
            <w:color w:val="FF0000"/>
            <w:lang w:val="fr-BE"/>
          </w:rPr>
          <w:t>Win4C@crmgroup.be</w:t>
        </w:r>
      </w:hyperlink>
      <w:r w:rsidRPr="00694874">
        <w:rPr>
          <w:i/>
          <w:iCs/>
          <w:color w:val="FF0000"/>
          <w:lang w:val="fr-BE"/>
        </w:rPr>
        <w:t> ?)</w:t>
      </w:r>
    </w:p>
    <w:p w14:paraId="4B265C26" w14:textId="7965E245" w:rsidR="43A97D0C" w:rsidRPr="00694874" w:rsidRDefault="43A97D0C" w:rsidP="009F1598">
      <w:pPr>
        <w:pStyle w:val="ListParagraph"/>
        <w:rPr>
          <w:rFonts w:eastAsiaTheme="minorEastAsia"/>
          <w:lang w:val="fr-BE"/>
        </w:rPr>
      </w:pPr>
    </w:p>
    <w:p w14:paraId="2D130F91" w14:textId="1A624D1C" w:rsidR="43A97D0C" w:rsidRPr="00694874" w:rsidRDefault="43A97D0C" w:rsidP="43A97D0C">
      <w:pPr>
        <w:rPr>
          <w:lang w:val="fr-BE"/>
        </w:rPr>
      </w:pPr>
    </w:p>
    <w:p w14:paraId="20EBB51B" w14:textId="6DD54289" w:rsidR="72356CBB" w:rsidRPr="00012EE9" w:rsidRDefault="72356CBB" w:rsidP="00CE6619">
      <w:pPr>
        <w:pBdr>
          <w:top w:val="single" w:sz="4" w:space="1" w:color="auto"/>
          <w:left w:val="single" w:sz="4" w:space="4" w:color="auto"/>
          <w:bottom w:val="single" w:sz="4" w:space="1" w:color="auto"/>
          <w:right w:val="single" w:sz="4" w:space="4" w:color="auto"/>
        </w:pBdr>
        <w:rPr>
          <w:i/>
          <w:iCs/>
        </w:rPr>
      </w:pPr>
      <w:r w:rsidRPr="00012EE9">
        <w:rPr>
          <w:i/>
          <w:iCs/>
        </w:rPr>
        <w:lastRenderedPageBreak/>
        <w:t xml:space="preserve">Ce one-pager s’adresse à un public large et sera utilisé à des fins de communication sur des sites internet. Merci d’utiliser un vocable compréhensible du plus grand nombre et de donner envie d’en savoir plus sur votre IIS et pourquoi pas de s’investir à vos côtés pour la réussite de vos ambitions. </w:t>
      </w:r>
    </w:p>
    <w:sectPr w:rsidR="72356CBB" w:rsidRPr="00012EE9">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0B4B" w14:textId="77777777" w:rsidR="00041101" w:rsidRDefault="00041101" w:rsidP="00292E2F">
      <w:r>
        <w:separator/>
      </w:r>
    </w:p>
  </w:endnote>
  <w:endnote w:type="continuationSeparator" w:id="0">
    <w:p w14:paraId="5BF51660" w14:textId="77777777" w:rsidR="00041101" w:rsidRDefault="00041101" w:rsidP="0029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50040"/>
      <w:docPartObj>
        <w:docPartGallery w:val="Page Numbers (Bottom of Page)"/>
        <w:docPartUnique/>
      </w:docPartObj>
    </w:sdtPr>
    <w:sdtEndPr/>
    <w:sdtContent>
      <w:p w14:paraId="6DE37D35" w14:textId="77777777" w:rsidR="00292E2F" w:rsidRDefault="00292E2F" w:rsidP="00292E2F">
        <w:pPr>
          <w:pStyle w:val="Footer"/>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4E26" w14:textId="77777777" w:rsidR="00041101" w:rsidRDefault="00041101" w:rsidP="00292E2F">
      <w:r>
        <w:separator/>
      </w:r>
    </w:p>
  </w:footnote>
  <w:footnote w:type="continuationSeparator" w:id="0">
    <w:p w14:paraId="289D2B7B" w14:textId="77777777" w:rsidR="00041101" w:rsidRDefault="00041101" w:rsidP="0029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477C" w14:textId="77777777" w:rsidR="00292E2F" w:rsidRDefault="00292E2F" w:rsidP="00292E2F">
    <w:pPr>
      <w:pStyle w:val="Header"/>
    </w:pPr>
    <w:r w:rsidRPr="002F4DC1">
      <w:rPr>
        <w:noProof/>
      </w:rPr>
      <w:drawing>
        <wp:anchor distT="0" distB="0" distL="114300" distR="114300" simplePos="0" relativeHeight="251659264" behindDoc="0" locked="0" layoutInCell="1" allowOverlap="1" wp14:anchorId="2FE32E63" wp14:editId="39776535">
          <wp:simplePos x="0" y="0"/>
          <wp:positionH relativeFrom="leftMargin">
            <wp:align>right</wp:align>
          </wp:positionH>
          <wp:positionV relativeFrom="paragraph">
            <wp:posOffset>-259080</wp:posOffset>
          </wp:positionV>
          <wp:extent cx="704850" cy="7048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Pr="002F4DC1">
      <w:t>Stratégie de spécialisation intelligente de la Wallonie</w:t>
    </w:r>
  </w:p>
  <w:p w14:paraId="4385449A" w14:textId="77777777" w:rsidR="00292E2F" w:rsidRDefault="00292E2F" w:rsidP="00292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7AEA"/>
    <w:multiLevelType w:val="hybridMultilevel"/>
    <w:tmpl w:val="2F20242A"/>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84B0B0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3551399"/>
    <w:multiLevelType w:val="multilevel"/>
    <w:tmpl w:val="58F040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E89471E"/>
    <w:multiLevelType w:val="hybridMultilevel"/>
    <w:tmpl w:val="CFC68764"/>
    <w:lvl w:ilvl="0" w:tplc="90EE67A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FF77687"/>
    <w:multiLevelType w:val="multilevel"/>
    <w:tmpl w:val="6226DA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4"/>
  </w:num>
  <w:num w:numId="3">
    <w:abstractNumId w:val="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40"/>
    <w:rsid w:val="00012EE9"/>
    <w:rsid w:val="000328CC"/>
    <w:rsid w:val="00041101"/>
    <w:rsid w:val="00177574"/>
    <w:rsid w:val="001A1CA2"/>
    <w:rsid w:val="002264DE"/>
    <w:rsid w:val="00230AA2"/>
    <w:rsid w:val="002441F6"/>
    <w:rsid w:val="00292E2F"/>
    <w:rsid w:val="00294723"/>
    <w:rsid w:val="002A12A5"/>
    <w:rsid w:val="00365A50"/>
    <w:rsid w:val="003C5BA0"/>
    <w:rsid w:val="00510658"/>
    <w:rsid w:val="00576D53"/>
    <w:rsid w:val="005F5E4A"/>
    <w:rsid w:val="00694874"/>
    <w:rsid w:val="006A0A17"/>
    <w:rsid w:val="006D7CE7"/>
    <w:rsid w:val="006F3E0C"/>
    <w:rsid w:val="0071454F"/>
    <w:rsid w:val="00730AC9"/>
    <w:rsid w:val="007771A5"/>
    <w:rsid w:val="007A05A5"/>
    <w:rsid w:val="007D78CE"/>
    <w:rsid w:val="008C71E8"/>
    <w:rsid w:val="008E214B"/>
    <w:rsid w:val="009117D3"/>
    <w:rsid w:val="009552F2"/>
    <w:rsid w:val="00971069"/>
    <w:rsid w:val="00976DFC"/>
    <w:rsid w:val="009E2616"/>
    <w:rsid w:val="009F1598"/>
    <w:rsid w:val="00A25940"/>
    <w:rsid w:val="00B0163C"/>
    <w:rsid w:val="00B32508"/>
    <w:rsid w:val="00B62780"/>
    <w:rsid w:val="00B75B96"/>
    <w:rsid w:val="00B9403E"/>
    <w:rsid w:val="00B955DE"/>
    <w:rsid w:val="00B974CB"/>
    <w:rsid w:val="00BA02DA"/>
    <w:rsid w:val="00C125D2"/>
    <w:rsid w:val="00C60E29"/>
    <w:rsid w:val="00CA264B"/>
    <w:rsid w:val="00CE6619"/>
    <w:rsid w:val="00CE7774"/>
    <w:rsid w:val="00DB642F"/>
    <w:rsid w:val="00E22374"/>
    <w:rsid w:val="00E3584C"/>
    <w:rsid w:val="00E4681C"/>
    <w:rsid w:val="00E933C3"/>
    <w:rsid w:val="00F207A2"/>
    <w:rsid w:val="067F2C4A"/>
    <w:rsid w:val="0D20D19D"/>
    <w:rsid w:val="13719E95"/>
    <w:rsid w:val="2B2093DF"/>
    <w:rsid w:val="2ED7AEBB"/>
    <w:rsid w:val="3F07BBB3"/>
    <w:rsid w:val="3F756283"/>
    <w:rsid w:val="418051B9"/>
    <w:rsid w:val="43A97D0C"/>
    <w:rsid w:val="44A6E97A"/>
    <w:rsid w:val="44EBE069"/>
    <w:rsid w:val="4C5013D0"/>
    <w:rsid w:val="4D0E8714"/>
    <w:rsid w:val="4D235858"/>
    <w:rsid w:val="4F42262B"/>
    <w:rsid w:val="50CD07A9"/>
    <w:rsid w:val="598D60B1"/>
    <w:rsid w:val="6D09DFAF"/>
    <w:rsid w:val="6FA229D7"/>
    <w:rsid w:val="72356CBB"/>
    <w:rsid w:val="775CA219"/>
    <w:rsid w:val="77602571"/>
    <w:rsid w:val="77A51C60"/>
    <w:rsid w:val="780C9D0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B427E"/>
  <w15:chartTrackingRefBased/>
  <w15:docId w15:val="{075D04D3-417E-49FA-AEB3-A359954A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E2F"/>
    <w:pPr>
      <w:spacing w:after="120"/>
    </w:pPr>
    <w:rPr>
      <w:lang w:val="fr"/>
    </w:rPr>
  </w:style>
  <w:style w:type="paragraph" w:styleId="Heading1">
    <w:name w:val="heading 1"/>
    <w:basedOn w:val="Normal"/>
    <w:next w:val="Normal"/>
    <w:link w:val="Heading1Char"/>
    <w:uiPriority w:val="9"/>
    <w:qFormat/>
    <w:rsid w:val="00292E2F"/>
    <w:pPr>
      <w:keepNext/>
      <w:keepLines/>
      <w:numPr>
        <w:numId w:val="2"/>
      </w:numPr>
      <w:pBdr>
        <w:bottom w:val="single" w:sz="12" w:space="1" w:color="B55374" w:themeColor="accent4" w:themeShade="BF"/>
      </w:pBdr>
      <w:spacing w:before="120" w:after="240"/>
      <w:ind w:left="431" w:hanging="431"/>
      <w:outlineLvl w:val="0"/>
    </w:pPr>
    <w:rPr>
      <w:rFonts w:asciiTheme="majorHAnsi" w:eastAsiaTheme="majorEastAsia" w:hAnsiTheme="majorHAnsi" w:cstheme="majorBidi"/>
      <w:b/>
      <w:bCs/>
      <w:color w:val="7C354D" w:themeColor="accent4" w:themeShade="80"/>
      <w:sz w:val="32"/>
      <w:szCs w:val="32"/>
    </w:rPr>
  </w:style>
  <w:style w:type="paragraph" w:styleId="Heading2">
    <w:name w:val="heading 2"/>
    <w:basedOn w:val="Normal"/>
    <w:next w:val="Normal"/>
    <w:link w:val="Heading2Char"/>
    <w:uiPriority w:val="9"/>
    <w:unhideWhenUsed/>
    <w:qFormat/>
    <w:rsid w:val="00292E2F"/>
    <w:pPr>
      <w:keepNext/>
      <w:keepLines/>
      <w:numPr>
        <w:ilvl w:val="1"/>
        <w:numId w:val="3"/>
      </w:numPr>
      <w:spacing w:after="240"/>
      <w:ind w:left="578" w:hanging="578"/>
      <w:outlineLvl w:val="1"/>
    </w:pPr>
    <w:rPr>
      <w:rFonts w:asciiTheme="majorHAnsi" w:eastAsiaTheme="majorEastAsia" w:hAnsiTheme="majorHAnsi" w:cstheme="majorBidi"/>
      <w:b/>
      <w:bCs/>
      <w:i/>
      <w:iCs/>
      <w:color w:val="344D6C" w:themeColor="accent6" w:themeShade="80"/>
      <w:sz w:val="26"/>
      <w:szCs w:val="26"/>
    </w:rPr>
  </w:style>
  <w:style w:type="paragraph" w:styleId="Heading3">
    <w:name w:val="heading 3"/>
    <w:basedOn w:val="Normal"/>
    <w:next w:val="Normal"/>
    <w:link w:val="Heading3Char"/>
    <w:uiPriority w:val="9"/>
    <w:semiHidden/>
    <w:unhideWhenUsed/>
    <w:qFormat/>
    <w:rsid w:val="00292E2F"/>
    <w:pPr>
      <w:keepNext/>
      <w:keepLines/>
      <w:numPr>
        <w:ilvl w:val="2"/>
        <w:numId w:val="2"/>
      </w:numPr>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9"/>
    <w:semiHidden/>
    <w:unhideWhenUsed/>
    <w:qFormat/>
    <w:rsid w:val="00292E2F"/>
    <w:pPr>
      <w:keepNext/>
      <w:keepLines/>
      <w:numPr>
        <w:ilvl w:val="3"/>
        <w:numId w:val="2"/>
      </w:numPr>
      <w:spacing w:before="40" w:after="0"/>
      <w:outlineLvl w:val="3"/>
    </w:pPr>
    <w:rPr>
      <w:rFonts w:asciiTheme="majorHAnsi" w:eastAsiaTheme="majorEastAsia" w:hAnsiTheme="majorHAnsi" w:cstheme="majorBidi"/>
      <w:i/>
      <w:iCs/>
      <w:color w:val="7C9163" w:themeColor="accent1" w:themeShade="BF"/>
    </w:rPr>
  </w:style>
  <w:style w:type="paragraph" w:styleId="Heading5">
    <w:name w:val="heading 5"/>
    <w:basedOn w:val="Normal"/>
    <w:next w:val="Normal"/>
    <w:link w:val="Heading5Char"/>
    <w:uiPriority w:val="9"/>
    <w:semiHidden/>
    <w:unhideWhenUsed/>
    <w:qFormat/>
    <w:rsid w:val="00292E2F"/>
    <w:pPr>
      <w:keepNext/>
      <w:keepLines/>
      <w:numPr>
        <w:ilvl w:val="4"/>
        <w:numId w:val="2"/>
      </w:numPr>
      <w:spacing w:before="40" w:after="0"/>
      <w:outlineLvl w:val="4"/>
    </w:pPr>
    <w:rPr>
      <w:rFonts w:asciiTheme="majorHAnsi" w:eastAsiaTheme="majorEastAsia" w:hAnsiTheme="majorHAnsi" w:cstheme="majorBidi"/>
      <w:color w:val="7C9163" w:themeColor="accent1" w:themeShade="BF"/>
    </w:rPr>
  </w:style>
  <w:style w:type="paragraph" w:styleId="Heading6">
    <w:name w:val="heading 6"/>
    <w:basedOn w:val="Normal"/>
    <w:next w:val="Normal"/>
    <w:link w:val="Heading6Char"/>
    <w:uiPriority w:val="9"/>
    <w:semiHidden/>
    <w:unhideWhenUsed/>
    <w:qFormat/>
    <w:rsid w:val="00292E2F"/>
    <w:pPr>
      <w:keepNext/>
      <w:keepLines/>
      <w:numPr>
        <w:ilvl w:val="5"/>
        <w:numId w:val="2"/>
      </w:numPr>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92E2F"/>
    <w:pPr>
      <w:keepNext/>
      <w:keepLines/>
      <w:numPr>
        <w:ilvl w:val="6"/>
        <w:numId w:val="2"/>
      </w:numPr>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92E2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2E2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E2F"/>
    <w:pPr>
      <w:tabs>
        <w:tab w:val="center" w:pos="4536"/>
        <w:tab w:val="right" w:pos="9072"/>
      </w:tabs>
      <w:spacing w:after="0" w:line="240" w:lineRule="auto"/>
      <w:jc w:val="both"/>
    </w:pPr>
    <w:rPr>
      <w:rFonts w:cs="Tahoma"/>
      <w:color w:val="000000" w:themeColor="text1"/>
    </w:rPr>
  </w:style>
  <w:style w:type="character" w:customStyle="1" w:styleId="HeaderChar">
    <w:name w:val="Header Char"/>
    <w:basedOn w:val="DefaultParagraphFont"/>
    <w:link w:val="Header"/>
    <w:uiPriority w:val="99"/>
    <w:rsid w:val="00292E2F"/>
    <w:rPr>
      <w:rFonts w:cs="Tahoma"/>
      <w:color w:val="000000" w:themeColor="text1"/>
      <w:lang w:val="fr"/>
    </w:rPr>
  </w:style>
  <w:style w:type="paragraph" w:styleId="Footer">
    <w:name w:val="footer"/>
    <w:basedOn w:val="Normal"/>
    <w:link w:val="FooterChar"/>
    <w:uiPriority w:val="99"/>
    <w:unhideWhenUsed/>
    <w:rsid w:val="00292E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2E2F"/>
  </w:style>
  <w:style w:type="paragraph" w:styleId="Title">
    <w:name w:val="Title"/>
    <w:basedOn w:val="Normal"/>
    <w:next w:val="Normal"/>
    <w:link w:val="TitleChar"/>
    <w:uiPriority w:val="10"/>
    <w:qFormat/>
    <w:rsid w:val="00510658"/>
    <w:pPr>
      <w:shd w:val="clear" w:color="auto" w:fill="4E74A2" w:themeFill="accent6" w:themeFillShade="BF"/>
      <w:spacing w:after="360" w:line="240" w:lineRule="auto"/>
      <w:contextualSpacing/>
      <w:jc w:val="center"/>
    </w:pPr>
    <w:rPr>
      <w:rFonts w:eastAsiaTheme="majorEastAsia" w:cstheme="majorBidi"/>
      <w:b/>
      <w:bCs/>
      <w:color w:val="FFFFFF" w:themeColor="background1"/>
      <w:spacing w:val="-10"/>
      <w:kern w:val="28"/>
      <w:sz w:val="56"/>
      <w:szCs w:val="56"/>
    </w:rPr>
  </w:style>
  <w:style w:type="character" w:customStyle="1" w:styleId="TitleChar">
    <w:name w:val="Title Char"/>
    <w:basedOn w:val="DefaultParagraphFont"/>
    <w:link w:val="Title"/>
    <w:uiPriority w:val="10"/>
    <w:rsid w:val="00510658"/>
    <w:rPr>
      <w:rFonts w:eastAsiaTheme="majorEastAsia" w:cstheme="majorBidi"/>
      <w:b/>
      <w:bCs/>
      <w:color w:val="FFFFFF" w:themeColor="background1"/>
      <w:spacing w:val="-10"/>
      <w:kern w:val="28"/>
      <w:sz w:val="56"/>
      <w:szCs w:val="56"/>
      <w:shd w:val="clear" w:color="auto" w:fill="4E74A2" w:themeFill="accent6" w:themeFillShade="BF"/>
      <w:lang w:val="fr"/>
    </w:rPr>
  </w:style>
  <w:style w:type="character" w:customStyle="1" w:styleId="Heading1Char">
    <w:name w:val="Heading 1 Char"/>
    <w:basedOn w:val="DefaultParagraphFont"/>
    <w:link w:val="Heading1"/>
    <w:uiPriority w:val="9"/>
    <w:rsid w:val="00292E2F"/>
    <w:rPr>
      <w:rFonts w:asciiTheme="majorHAnsi" w:eastAsiaTheme="majorEastAsia" w:hAnsiTheme="majorHAnsi" w:cstheme="majorBidi"/>
      <w:b/>
      <w:bCs/>
      <w:color w:val="7C354D" w:themeColor="accent4" w:themeShade="80"/>
      <w:sz w:val="32"/>
      <w:szCs w:val="32"/>
      <w:lang w:val="fr"/>
    </w:rPr>
  </w:style>
  <w:style w:type="character" w:customStyle="1" w:styleId="Heading2Char">
    <w:name w:val="Heading 2 Char"/>
    <w:basedOn w:val="DefaultParagraphFont"/>
    <w:link w:val="Heading2"/>
    <w:uiPriority w:val="9"/>
    <w:rsid w:val="00292E2F"/>
    <w:rPr>
      <w:rFonts w:asciiTheme="majorHAnsi" w:eastAsiaTheme="majorEastAsia" w:hAnsiTheme="majorHAnsi" w:cstheme="majorBidi"/>
      <w:b/>
      <w:bCs/>
      <w:i/>
      <w:iCs/>
      <w:color w:val="344D6C" w:themeColor="accent6" w:themeShade="80"/>
      <w:sz w:val="26"/>
      <w:szCs w:val="26"/>
      <w:lang w:val="fr"/>
    </w:rPr>
  </w:style>
  <w:style w:type="character" w:customStyle="1" w:styleId="Heading3Char">
    <w:name w:val="Heading 3 Char"/>
    <w:basedOn w:val="DefaultParagraphFont"/>
    <w:link w:val="Heading3"/>
    <w:uiPriority w:val="9"/>
    <w:semiHidden/>
    <w:rsid w:val="00292E2F"/>
    <w:rPr>
      <w:rFonts w:asciiTheme="majorHAnsi" w:eastAsiaTheme="majorEastAsia" w:hAnsiTheme="majorHAnsi" w:cstheme="majorBidi"/>
      <w:color w:val="526041" w:themeColor="accent1" w:themeShade="7F"/>
      <w:sz w:val="24"/>
      <w:szCs w:val="24"/>
    </w:rPr>
  </w:style>
  <w:style w:type="character" w:customStyle="1" w:styleId="Heading4Char">
    <w:name w:val="Heading 4 Char"/>
    <w:basedOn w:val="DefaultParagraphFont"/>
    <w:link w:val="Heading4"/>
    <w:uiPriority w:val="9"/>
    <w:semiHidden/>
    <w:rsid w:val="00292E2F"/>
    <w:rPr>
      <w:rFonts w:asciiTheme="majorHAnsi" w:eastAsiaTheme="majorEastAsia" w:hAnsiTheme="majorHAnsi" w:cstheme="majorBidi"/>
      <w:i/>
      <w:iCs/>
      <w:color w:val="7C9163" w:themeColor="accent1" w:themeShade="BF"/>
    </w:rPr>
  </w:style>
  <w:style w:type="character" w:customStyle="1" w:styleId="Heading5Char">
    <w:name w:val="Heading 5 Char"/>
    <w:basedOn w:val="DefaultParagraphFont"/>
    <w:link w:val="Heading5"/>
    <w:uiPriority w:val="9"/>
    <w:semiHidden/>
    <w:rsid w:val="00292E2F"/>
    <w:rPr>
      <w:rFonts w:asciiTheme="majorHAnsi" w:eastAsiaTheme="majorEastAsia" w:hAnsiTheme="majorHAnsi" w:cstheme="majorBidi"/>
      <w:color w:val="7C9163" w:themeColor="accent1" w:themeShade="BF"/>
    </w:rPr>
  </w:style>
  <w:style w:type="character" w:customStyle="1" w:styleId="Heading6Char">
    <w:name w:val="Heading 6 Char"/>
    <w:basedOn w:val="DefaultParagraphFont"/>
    <w:link w:val="Heading6"/>
    <w:uiPriority w:val="9"/>
    <w:semiHidden/>
    <w:rsid w:val="00292E2F"/>
    <w:rPr>
      <w:rFonts w:asciiTheme="majorHAnsi" w:eastAsiaTheme="majorEastAsia" w:hAnsiTheme="majorHAnsi" w:cstheme="majorBidi"/>
      <w:color w:val="526041" w:themeColor="accent1" w:themeShade="7F"/>
    </w:rPr>
  </w:style>
  <w:style w:type="character" w:customStyle="1" w:styleId="Heading7Char">
    <w:name w:val="Heading 7 Char"/>
    <w:basedOn w:val="DefaultParagraphFont"/>
    <w:link w:val="Heading7"/>
    <w:uiPriority w:val="9"/>
    <w:semiHidden/>
    <w:rsid w:val="00292E2F"/>
    <w:rPr>
      <w:rFonts w:asciiTheme="majorHAnsi" w:eastAsiaTheme="majorEastAsia" w:hAnsiTheme="majorHAnsi" w:cstheme="majorBidi"/>
      <w:i/>
      <w:iCs/>
      <w:color w:val="526041" w:themeColor="accent1" w:themeShade="7F"/>
    </w:rPr>
  </w:style>
  <w:style w:type="character" w:customStyle="1" w:styleId="Heading8Char">
    <w:name w:val="Heading 8 Char"/>
    <w:basedOn w:val="DefaultParagraphFont"/>
    <w:link w:val="Heading8"/>
    <w:uiPriority w:val="9"/>
    <w:semiHidden/>
    <w:rsid w:val="00292E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2E2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A25940"/>
    <w:pPr>
      <w:ind w:left="720"/>
      <w:contextualSpacing/>
    </w:pPr>
  </w:style>
  <w:style w:type="character" w:customStyle="1" w:styleId="ListParagraphChar">
    <w:name w:val="List Paragraph Char"/>
    <w:link w:val="ListParagraph"/>
    <w:uiPriority w:val="34"/>
    <w:rsid w:val="00E933C3"/>
    <w:rPr>
      <w:lang w:val="fr"/>
    </w:rPr>
  </w:style>
  <w:style w:type="character" w:styleId="Hyperlink">
    <w:name w:val="Hyperlink"/>
    <w:basedOn w:val="DefaultParagraphFont"/>
    <w:uiPriority w:val="99"/>
    <w:unhideWhenUsed/>
    <w:rsid w:val="00694874"/>
    <w:rPr>
      <w:color w:val="8E58B6" w:themeColor="hyperlink"/>
      <w:u w:val="single"/>
    </w:rPr>
  </w:style>
  <w:style w:type="character" w:styleId="UnresolvedMention">
    <w:name w:val="Unresolved Mention"/>
    <w:basedOn w:val="DefaultParagraphFont"/>
    <w:uiPriority w:val="99"/>
    <w:semiHidden/>
    <w:unhideWhenUsed/>
    <w:rsid w:val="00694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oeri.Neutjens@crmgroup.be"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Win4C@crmgroup.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137\Documents\Mod&#232;les%20Office%20personnalis&#233;s\s3.dotx" TargetMode="External"/></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C5616D77E5E48964B96803CF31B82" ma:contentTypeVersion="2" ma:contentTypeDescription="Crée un document." ma:contentTypeScope="" ma:versionID="5beb26f0ac1e3e75f2e89f6026074828">
  <xsd:schema xmlns:xsd="http://www.w3.org/2001/XMLSchema" xmlns:xs="http://www.w3.org/2001/XMLSchema" xmlns:p="http://schemas.microsoft.com/office/2006/metadata/properties" xmlns:ns2="a95933c2-43f1-4039-ae7a-c7961dc67d32" targetNamespace="http://schemas.microsoft.com/office/2006/metadata/properties" ma:root="true" ma:fieldsID="792d01ef0e4e402795c2eafc69c00f98" ns2:_="">
    <xsd:import namespace="a95933c2-43f1-4039-ae7a-c7961dc67d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933c2-43f1-4039-ae7a-c7961dc6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49AF3-4943-4A07-BA32-B02D65167AF1}"/>
</file>

<file path=customXml/itemProps2.xml><?xml version="1.0" encoding="utf-8"?>
<ds:datastoreItem xmlns:ds="http://schemas.openxmlformats.org/officeDocument/2006/customXml" ds:itemID="{4883E74C-6FEC-4C26-B2A3-971747C5F824}">
  <ds:schemaRefs>
    <ds:schemaRef ds:uri="http://schemas.microsoft.com/office/2006/metadata/properties"/>
    <ds:schemaRef ds:uri="http://schemas.microsoft.com/office/infopath/2007/PartnerControls"/>
    <ds:schemaRef ds:uri="9dd70855-4555-4fc6-8fbc-e6f843257071"/>
  </ds:schemaRefs>
</ds:datastoreItem>
</file>

<file path=customXml/itemProps3.xml><?xml version="1.0" encoding="utf-8"?>
<ds:datastoreItem xmlns:ds="http://schemas.openxmlformats.org/officeDocument/2006/customXml" ds:itemID="{CCBC9DCB-EE9E-4A65-87B0-ABF5C5297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s3</Template>
  <TotalTime>88</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127137</dc:creator>
  <cp:keywords/>
  <dc:description/>
  <cp:lastModifiedBy>VANDERHEYDEN Bernard</cp:lastModifiedBy>
  <cp:revision>9</cp:revision>
  <dcterms:created xsi:type="dcterms:W3CDTF">2022-03-22T22:33:00Z</dcterms:created>
  <dcterms:modified xsi:type="dcterms:W3CDTF">2022-03-23T00:17:00Z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2021-08-03T14:42:12Z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67666b5a-d74b-449f-a5c5-45a7159111b5</vt:lpwstr>
  </property>
  <property fmtid="{D5CDD505-2E9C-101B-9397-08002B2CF9AE}" pid="8" name="MSIP_Label_97a477d1-147d-4e34-b5e3-7b26d2f44870_ContentBits">
    <vt:lpwstr>0</vt:lpwstr>
  </property>
  <property fmtid="{D5CDD505-2E9C-101B-9397-08002B2CF9AE}" pid="9" name="ContentTypeId">
    <vt:lpwstr>0x01010056DC5616D77E5E48964B96803CF31B82</vt:lpwstr>
  </property>
</Properties>
</file>