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0DC5" w14:textId="75720AB5" w:rsidR="00E42710" w:rsidRPr="00431A3A" w:rsidRDefault="006E5239" w:rsidP="0020587F">
      <w:pPr>
        <w:shd w:val="clear" w:color="auto" w:fill="94CF93"/>
        <w:spacing w:after="120" w:line="240" w:lineRule="auto"/>
        <w:jc w:val="center"/>
        <w:rPr>
          <w:rFonts w:eastAsia="Times New Roman" w:cstheme="minorHAnsi"/>
          <w:b/>
          <w:color w:val="FFFFFF"/>
          <w:sz w:val="28"/>
          <w:szCs w:val="28"/>
          <w:lang w:val="fr-FR" w:eastAsia="fr-BE"/>
        </w:rPr>
      </w:pPr>
      <w:r w:rsidRPr="00C01E48">
        <w:rPr>
          <w:noProof/>
        </w:rPr>
        <w:drawing>
          <wp:anchor distT="0" distB="0" distL="114300" distR="114300" simplePos="0" relativeHeight="251658240" behindDoc="0" locked="0" layoutInCell="1" allowOverlap="1" wp14:anchorId="3311C8DA" wp14:editId="33E83EE6">
            <wp:simplePos x="0" y="0"/>
            <wp:positionH relativeFrom="column">
              <wp:posOffset>-657225</wp:posOffset>
            </wp:positionH>
            <wp:positionV relativeFrom="paragraph">
              <wp:posOffset>-714375</wp:posOffset>
            </wp:positionV>
            <wp:extent cx="1334770" cy="576580"/>
            <wp:effectExtent l="19050" t="0" r="0" b="0"/>
            <wp:wrapThrough wrapText="bothSides">
              <wp:wrapPolygon edited="0">
                <wp:start x="-308" y="0"/>
                <wp:lineTo x="-308" y="20696"/>
                <wp:lineTo x="21579" y="20696"/>
                <wp:lineTo x="21579" y="0"/>
                <wp:lineTo x="-30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4770" cy="576580"/>
                    </a:xfrm>
                    <a:prstGeom prst="rect">
                      <a:avLst/>
                    </a:prstGeom>
                  </pic:spPr>
                </pic:pic>
              </a:graphicData>
            </a:graphic>
          </wp:anchor>
        </w:drawing>
      </w:r>
      <w:r w:rsidR="00E42710" w:rsidRPr="00431A3A">
        <w:rPr>
          <w:rFonts w:eastAsia="Times New Roman" w:cstheme="minorHAnsi"/>
          <w:b/>
          <w:color w:val="FFFFFF"/>
          <w:sz w:val="28"/>
          <w:szCs w:val="28"/>
          <w:lang w:val="fr-FR" w:eastAsia="fr-BE"/>
        </w:rPr>
        <w:t>Stratégie de spécialisation intelligente – S3</w:t>
      </w:r>
    </w:p>
    <w:p w14:paraId="33A16ABE" w14:textId="619E680F" w:rsidR="0079750C" w:rsidRDefault="005A4976" w:rsidP="0020587F">
      <w:pPr>
        <w:shd w:val="clear" w:color="auto" w:fill="94CF93"/>
        <w:spacing w:after="120" w:line="240" w:lineRule="auto"/>
        <w:jc w:val="center"/>
        <w:rPr>
          <w:rFonts w:eastAsia="Times New Roman" w:cstheme="minorHAnsi"/>
          <w:b/>
          <w:color w:val="FFFFFF"/>
          <w:sz w:val="28"/>
          <w:szCs w:val="28"/>
          <w:lang w:val="fr-FR" w:eastAsia="fr-BE"/>
        </w:rPr>
      </w:pPr>
      <w:r>
        <w:rPr>
          <w:rFonts w:eastAsia="Times New Roman" w:cstheme="minorHAnsi"/>
          <w:b/>
          <w:color w:val="FFFFFF"/>
          <w:sz w:val="28"/>
          <w:szCs w:val="28"/>
          <w:lang w:val="fr-FR" w:eastAsia="fr-BE"/>
        </w:rPr>
        <w:t>Appel PRW</w:t>
      </w:r>
      <w:r w:rsidR="002F7369">
        <w:rPr>
          <w:rFonts w:eastAsia="Times New Roman" w:cstheme="minorHAnsi"/>
          <w:b/>
          <w:color w:val="FFFFFF"/>
          <w:sz w:val="28"/>
          <w:szCs w:val="28"/>
          <w:lang w:val="fr-FR" w:eastAsia="fr-BE"/>
        </w:rPr>
        <w:t xml:space="preserve"> </w:t>
      </w:r>
      <w:r w:rsidR="008B1C89">
        <w:rPr>
          <w:rFonts w:eastAsia="Times New Roman" w:cstheme="minorHAnsi"/>
          <w:b/>
          <w:color w:val="FFFFFF"/>
          <w:sz w:val="28"/>
          <w:szCs w:val="28"/>
          <w:lang w:val="fr-FR" w:eastAsia="fr-BE"/>
        </w:rPr>
        <w:t>pilier</w:t>
      </w:r>
      <w:r w:rsidR="002F7369">
        <w:rPr>
          <w:rFonts w:eastAsia="Times New Roman" w:cstheme="minorHAnsi"/>
          <w:b/>
          <w:color w:val="FFFFFF"/>
          <w:sz w:val="28"/>
          <w:szCs w:val="28"/>
          <w:lang w:val="fr-FR" w:eastAsia="fr-BE"/>
        </w:rPr>
        <w:t xml:space="preserve"> 1</w:t>
      </w:r>
      <w:r>
        <w:rPr>
          <w:rFonts w:eastAsia="Times New Roman" w:cstheme="minorHAnsi"/>
          <w:b/>
          <w:color w:val="FFFFFF"/>
          <w:sz w:val="28"/>
          <w:szCs w:val="28"/>
          <w:lang w:val="fr-FR" w:eastAsia="fr-BE"/>
        </w:rPr>
        <w:t xml:space="preserve"> </w:t>
      </w:r>
      <w:r w:rsidR="00D60931">
        <w:rPr>
          <w:rFonts w:eastAsia="Times New Roman" w:cstheme="minorHAnsi"/>
          <w:b/>
          <w:color w:val="FFFFFF"/>
          <w:sz w:val="28"/>
          <w:szCs w:val="28"/>
          <w:lang w:val="fr-FR" w:eastAsia="fr-BE"/>
        </w:rPr>
        <w:t xml:space="preserve">– </w:t>
      </w:r>
      <w:r w:rsidR="0079750C" w:rsidRPr="00431A3A">
        <w:rPr>
          <w:rFonts w:eastAsia="Times New Roman" w:cstheme="minorHAnsi"/>
          <w:b/>
          <w:color w:val="FFFFFF"/>
          <w:sz w:val="28"/>
          <w:szCs w:val="28"/>
          <w:lang w:val="fr-FR" w:eastAsia="fr-BE"/>
        </w:rPr>
        <w:t xml:space="preserve">Mécanisme de soutien </w:t>
      </w:r>
      <w:r w:rsidR="002F7369">
        <w:rPr>
          <w:rFonts w:eastAsia="Times New Roman" w:cstheme="minorHAnsi"/>
          <w:b/>
          <w:color w:val="FFFFFF"/>
          <w:sz w:val="28"/>
          <w:szCs w:val="28"/>
          <w:lang w:val="fr-FR" w:eastAsia="fr-BE"/>
        </w:rPr>
        <w:t>à la gestion des IIS et rédaction de projets européen</w:t>
      </w:r>
    </w:p>
    <w:p w14:paraId="7EE4594A" w14:textId="041BF7B6" w:rsidR="00EF6BEB" w:rsidRPr="00431A3A" w:rsidRDefault="00EF6BEB" w:rsidP="0020587F">
      <w:pPr>
        <w:shd w:val="clear" w:color="auto" w:fill="94CF93"/>
        <w:spacing w:after="120" w:line="240" w:lineRule="auto"/>
        <w:jc w:val="center"/>
        <w:rPr>
          <w:rFonts w:eastAsia="Times New Roman" w:cstheme="minorHAnsi"/>
          <w:b/>
          <w:color w:val="FFFFFF"/>
          <w:sz w:val="28"/>
          <w:szCs w:val="28"/>
          <w:lang w:val="fr-FR" w:eastAsia="fr-BE"/>
        </w:rPr>
      </w:pPr>
      <w:r>
        <w:rPr>
          <w:rFonts w:eastAsia="Times New Roman" w:cstheme="minorHAnsi"/>
          <w:b/>
          <w:color w:val="FFFFFF"/>
          <w:sz w:val="28"/>
          <w:szCs w:val="28"/>
          <w:lang w:val="fr-FR" w:eastAsia="fr-BE"/>
        </w:rPr>
        <w:t>FAQ</w:t>
      </w:r>
    </w:p>
    <w:p w14:paraId="3535D7E6" w14:textId="71A9EEF9" w:rsidR="00E42710" w:rsidRDefault="00E42710" w:rsidP="0020587F">
      <w:pPr>
        <w:shd w:val="clear" w:color="auto" w:fill="94CF93"/>
        <w:spacing w:after="120" w:line="240" w:lineRule="auto"/>
        <w:jc w:val="center"/>
        <w:rPr>
          <w:rFonts w:eastAsia="Times New Roman" w:cstheme="minorHAnsi"/>
          <w:b/>
          <w:color w:val="FFFFFF"/>
          <w:sz w:val="28"/>
          <w:szCs w:val="28"/>
          <w:lang w:val="fr-FR" w:eastAsia="fr-BE"/>
        </w:rPr>
      </w:pPr>
      <w:r>
        <w:rPr>
          <w:rFonts w:eastAsia="Times New Roman" w:cstheme="minorHAnsi"/>
          <w:b/>
          <w:color w:val="FFFFFF"/>
          <w:sz w:val="28"/>
          <w:szCs w:val="28"/>
          <w:lang w:val="fr-FR" w:eastAsia="fr-BE"/>
        </w:rPr>
        <w:t xml:space="preserve">Version </w:t>
      </w:r>
      <w:r w:rsidR="002756E8">
        <w:rPr>
          <w:rFonts w:eastAsia="Times New Roman" w:cstheme="minorHAnsi"/>
          <w:b/>
          <w:color w:val="FFFFFF"/>
          <w:sz w:val="28"/>
          <w:szCs w:val="28"/>
          <w:lang w:val="fr-FR" w:eastAsia="fr-BE"/>
        </w:rPr>
        <w:t>3</w:t>
      </w:r>
      <w:r>
        <w:rPr>
          <w:rFonts w:eastAsia="Times New Roman" w:cstheme="minorHAnsi"/>
          <w:b/>
          <w:color w:val="FFFFFF"/>
          <w:sz w:val="28"/>
          <w:szCs w:val="28"/>
          <w:lang w:val="fr-FR" w:eastAsia="fr-BE"/>
        </w:rPr>
        <w:t xml:space="preserve"> – </w:t>
      </w:r>
      <w:r w:rsidR="00BA2246">
        <w:rPr>
          <w:rFonts w:eastAsia="Times New Roman" w:cstheme="minorHAnsi"/>
          <w:b/>
          <w:color w:val="FFFFFF"/>
          <w:sz w:val="28"/>
          <w:szCs w:val="28"/>
          <w:lang w:val="fr-FR" w:eastAsia="fr-BE"/>
        </w:rPr>
        <w:t>11</w:t>
      </w:r>
      <w:r>
        <w:rPr>
          <w:rFonts w:eastAsia="Times New Roman" w:cstheme="minorHAnsi"/>
          <w:b/>
          <w:color w:val="FFFFFF"/>
          <w:sz w:val="28"/>
          <w:szCs w:val="28"/>
          <w:lang w:val="fr-FR" w:eastAsia="fr-BE"/>
        </w:rPr>
        <w:t xml:space="preserve"> </w:t>
      </w:r>
      <w:r w:rsidR="00BA2246">
        <w:rPr>
          <w:rFonts w:eastAsia="Times New Roman" w:cstheme="minorHAnsi"/>
          <w:b/>
          <w:color w:val="FFFFFF"/>
          <w:sz w:val="28"/>
          <w:szCs w:val="28"/>
          <w:lang w:val="fr-FR" w:eastAsia="fr-BE"/>
        </w:rPr>
        <w:t xml:space="preserve">mai </w:t>
      </w:r>
      <w:r>
        <w:rPr>
          <w:rFonts w:eastAsia="Times New Roman" w:cstheme="minorHAnsi"/>
          <w:b/>
          <w:color w:val="FFFFFF"/>
          <w:sz w:val="28"/>
          <w:szCs w:val="28"/>
          <w:lang w:val="fr-FR" w:eastAsia="fr-BE"/>
        </w:rPr>
        <w:t xml:space="preserve">2023 </w:t>
      </w:r>
      <w:r w:rsidRPr="00CE009C">
        <w:rPr>
          <w:rFonts w:eastAsia="Times New Roman" w:cstheme="minorHAnsi"/>
          <w:b/>
          <w:color w:val="FFFFFF"/>
          <w:sz w:val="28"/>
          <w:szCs w:val="28"/>
          <w:lang w:val="fr-FR" w:eastAsia="fr-BE"/>
        </w:rPr>
        <w:t xml:space="preserve"> </w:t>
      </w:r>
    </w:p>
    <w:p w14:paraId="661824A8" w14:textId="77777777" w:rsidR="00B53D7E" w:rsidRDefault="00B53D7E" w:rsidP="002E708F">
      <w:pPr>
        <w:rPr>
          <w:rFonts w:eastAsia="Times New Roman" w:cstheme="minorHAnsi"/>
          <w:b/>
          <w:color w:val="FFFFFF"/>
          <w:sz w:val="28"/>
          <w:szCs w:val="28"/>
          <w:lang w:val="fr-FR" w:eastAsia="fr-BE"/>
        </w:rPr>
      </w:pPr>
    </w:p>
    <w:p w14:paraId="1B098175" w14:textId="5FCF8AC1" w:rsidR="0044332F" w:rsidRDefault="0044332F" w:rsidP="00B777FE">
      <w:pPr>
        <w:numPr>
          <w:ilvl w:val="0"/>
          <w:numId w:val="5"/>
        </w:numPr>
        <w:spacing w:before="100" w:beforeAutospacing="1" w:after="240" w:line="240" w:lineRule="auto"/>
        <w:ind w:left="426"/>
        <w:jc w:val="both"/>
        <w:rPr>
          <w:rFonts w:eastAsia="Times New Roman"/>
          <w:color w:val="000000"/>
        </w:rPr>
      </w:pPr>
      <w:r>
        <w:rPr>
          <w:rFonts w:eastAsia="Times New Roman"/>
          <w:color w:val="000000"/>
        </w:rPr>
        <w:t>Le financement est mono-acteur. Etant donné que différents blocs d’actions peuvent faire l’objet d’un financement distinct, peut-on introduire une demande par type d’actions ?</w:t>
      </w:r>
    </w:p>
    <w:p w14:paraId="6FBC9CE8" w14:textId="06C9594C" w:rsidR="0044332F" w:rsidRDefault="0044332F" w:rsidP="00B777FE">
      <w:pPr>
        <w:pStyle w:val="Paragraphedeliste"/>
        <w:spacing w:after="240" w:line="240" w:lineRule="auto"/>
        <w:ind w:left="426"/>
        <w:contextualSpacing w:val="0"/>
        <w:jc w:val="both"/>
        <w:rPr>
          <w:color w:val="4F81BD" w:themeColor="accent1"/>
        </w:rPr>
      </w:pPr>
      <w:r w:rsidRPr="00BB2ABE">
        <w:rPr>
          <w:color w:val="4F81BD" w:themeColor="accent1"/>
        </w:rPr>
        <w:t>Non,</w:t>
      </w:r>
      <w:r w:rsidR="00314901">
        <w:rPr>
          <w:color w:val="4F81BD" w:themeColor="accent1"/>
        </w:rPr>
        <w:t xml:space="preserve"> </w:t>
      </w:r>
      <w:r w:rsidR="00172066">
        <w:rPr>
          <w:color w:val="4F81BD" w:themeColor="accent1"/>
        </w:rPr>
        <w:t>une seule subvention par IIS sera octroyée. Celle-ci peut toutefois couvrir différent</w:t>
      </w:r>
      <w:r w:rsidR="00E1186B">
        <w:rPr>
          <w:color w:val="4F81BD" w:themeColor="accent1"/>
        </w:rPr>
        <w:t>s types de dépenses.</w:t>
      </w:r>
    </w:p>
    <w:p w14:paraId="5BF73583" w14:textId="40BBC315" w:rsidR="00C94329" w:rsidRPr="00D75A7C" w:rsidRDefault="00C94329" w:rsidP="00B777FE">
      <w:pPr>
        <w:numPr>
          <w:ilvl w:val="0"/>
          <w:numId w:val="5"/>
        </w:numPr>
        <w:spacing w:before="100" w:beforeAutospacing="1" w:after="240" w:line="240" w:lineRule="auto"/>
        <w:ind w:left="426"/>
        <w:jc w:val="both"/>
        <w:rPr>
          <w:rFonts w:eastAsia="Times New Roman"/>
          <w:color w:val="000000"/>
        </w:rPr>
      </w:pPr>
      <w:r w:rsidRPr="00D75A7C">
        <w:rPr>
          <w:rFonts w:eastAsia="Times New Roman"/>
          <w:color w:val="000000"/>
        </w:rPr>
        <w:t xml:space="preserve">Le formulaire ne prévoit qu’un seul chef de file. Comment compléter </w:t>
      </w:r>
      <w:r w:rsidR="00B2407A" w:rsidRPr="009D1548">
        <w:rPr>
          <w:rFonts w:eastAsia="Times New Roman"/>
          <w:color w:val="000000"/>
        </w:rPr>
        <w:t xml:space="preserve">lorsqu’un IIS a </w:t>
      </w:r>
      <w:r w:rsidRPr="00D75A7C">
        <w:rPr>
          <w:rFonts w:eastAsia="Times New Roman"/>
          <w:color w:val="000000"/>
        </w:rPr>
        <w:t>2 chefs de file</w:t>
      </w:r>
      <w:r w:rsidR="00B2407A" w:rsidRPr="009D1548">
        <w:rPr>
          <w:rFonts w:eastAsia="Times New Roman"/>
          <w:color w:val="000000"/>
        </w:rPr>
        <w:t> ?</w:t>
      </w:r>
      <w:r w:rsidR="004E0B74" w:rsidRPr="009D1548">
        <w:rPr>
          <w:rFonts w:eastAsia="Times New Roman"/>
          <w:color w:val="000000"/>
        </w:rPr>
        <w:t xml:space="preserve"> </w:t>
      </w:r>
    </w:p>
    <w:p w14:paraId="4A2083B1" w14:textId="3D21B033" w:rsidR="002C0C81" w:rsidRPr="00BB2ABE" w:rsidRDefault="002C0C81" w:rsidP="00B777FE">
      <w:pPr>
        <w:pStyle w:val="Paragraphedeliste"/>
        <w:spacing w:after="240" w:line="240" w:lineRule="auto"/>
        <w:ind w:left="426"/>
        <w:contextualSpacing w:val="0"/>
        <w:jc w:val="both"/>
        <w:rPr>
          <w:color w:val="4F81BD" w:themeColor="accent1"/>
        </w:rPr>
      </w:pPr>
      <w:r>
        <w:rPr>
          <w:color w:val="4F81BD" w:themeColor="accent1"/>
        </w:rPr>
        <w:t>Le formulaire peut être adapté pour mentionner deux chefs de file</w:t>
      </w:r>
      <w:r w:rsidR="00B2407A">
        <w:rPr>
          <w:color w:val="4F81BD" w:themeColor="accent1"/>
        </w:rPr>
        <w:t>. Toutefois, il ne peut il y avoir qu’un seul soumissionnaire.</w:t>
      </w:r>
    </w:p>
    <w:p w14:paraId="4EFDB946" w14:textId="77777777" w:rsidR="00E1076A" w:rsidRDefault="00C82AC4" w:rsidP="00B777FE">
      <w:pPr>
        <w:pStyle w:val="Paragraphedeliste"/>
        <w:numPr>
          <w:ilvl w:val="0"/>
          <w:numId w:val="6"/>
        </w:numPr>
        <w:spacing w:after="240" w:line="240" w:lineRule="auto"/>
        <w:ind w:left="425"/>
        <w:contextualSpacing w:val="0"/>
        <w:jc w:val="both"/>
        <w:rPr>
          <w:rFonts w:eastAsia="Times New Roman"/>
          <w:color w:val="000000"/>
        </w:rPr>
      </w:pPr>
      <w:r>
        <w:rPr>
          <w:rFonts w:eastAsia="Times New Roman"/>
          <w:color w:val="000000"/>
        </w:rPr>
        <w:t xml:space="preserve">Quelle est la procédure d’évaluation ? </w:t>
      </w:r>
    </w:p>
    <w:p w14:paraId="679CF2C9" w14:textId="49D6E63D" w:rsidR="00B009C5" w:rsidRDefault="00B009C5" w:rsidP="00B777FE">
      <w:pPr>
        <w:pStyle w:val="Paragraphedeliste"/>
        <w:spacing w:before="100" w:beforeAutospacing="1" w:after="240" w:line="240" w:lineRule="auto"/>
        <w:ind w:left="425"/>
        <w:contextualSpacing w:val="0"/>
        <w:jc w:val="both"/>
        <w:rPr>
          <w:color w:val="4F81BD" w:themeColor="accent1"/>
        </w:rPr>
      </w:pPr>
      <w:r w:rsidRPr="00AB0339">
        <w:rPr>
          <w:color w:val="4F81BD" w:themeColor="accent1"/>
        </w:rPr>
        <w:t>Celle-ci est détaillée au point 10</w:t>
      </w:r>
      <w:r w:rsidR="00216F30">
        <w:rPr>
          <w:color w:val="4F81BD" w:themeColor="accent1"/>
        </w:rPr>
        <w:t xml:space="preserve"> d</w:t>
      </w:r>
      <w:r w:rsidRPr="00AB0339">
        <w:rPr>
          <w:color w:val="4F81BD" w:themeColor="accent1"/>
        </w:rPr>
        <w:t>e l’appel : le SPW EER – Direction de la Politique Economique analyse les propositions</w:t>
      </w:r>
      <w:r w:rsidR="00894596" w:rsidRPr="00AB0339">
        <w:rPr>
          <w:color w:val="4F81BD" w:themeColor="accent1"/>
        </w:rPr>
        <w:t xml:space="preserve"> et formule la proposition</w:t>
      </w:r>
      <w:r w:rsidR="00082007" w:rsidRPr="00AB0339">
        <w:rPr>
          <w:color w:val="4F81BD" w:themeColor="accent1"/>
        </w:rPr>
        <w:t xml:space="preserve"> de sélection des projets. Cette proposition est soumise à la validation du GT S3. La décision finale revient au Gouvernement wallon.</w:t>
      </w:r>
    </w:p>
    <w:p w14:paraId="2893C240" w14:textId="22D560A4" w:rsidR="00851FC0" w:rsidRDefault="00723E6F" w:rsidP="00B777FE">
      <w:pPr>
        <w:pStyle w:val="Paragraphedeliste"/>
        <w:numPr>
          <w:ilvl w:val="0"/>
          <w:numId w:val="6"/>
        </w:numPr>
        <w:spacing w:after="240" w:line="240" w:lineRule="auto"/>
        <w:ind w:left="425"/>
        <w:contextualSpacing w:val="0"/>
        <w:jc w:val="both"/>
        <w:rPr>
          <w:rFonts w:eastAsia="Times New Roman"/>
          <w:color w:val="000000"/>
        </w:rPr>
      </w:pPr>
      <w:r w:rsidRPr="00723E6F">
        <w:rPr>
          <w:rFonts w:eastAsia="Times New Roman"/>
          <w:color w:val="000000"/>
        </w:rPr>
        <w:t xml:space="preserve">Le programme d’action proposé par l’IIS peut-il inclure des collaborations avec des acteurs </w:t>
      </w:r>
      <w:r>
        <w:rPr>
          <w:rFonts w:eastAsia="Times New Roman"/>
          <w:color w:val="000000"/>
        </w:rPr>
        <w:t>représentés au sein du GT S3 ?</w:t>
      </w:r>
    </w:p>
    <w:p w14:paraId="6DA31BCD" w14:textId="61AAD345" w:rsidR="00851FC0" w:rsidRPr="004735A5" w:rsidRDefault="632258BE" w:rsidP="00B777FE">
      <w:pPr>
        <w:pStyle w:val="Paragraphedeliste"/>
        <w:spacing w:before="100" w:beforeAutospacing="1" w:after="240" w:line="240" w:lineRule="auto"/>
        <w:ind w:left="425"/>
        <w:contextualSpacing w:val="0"/>
        <w:jc w:val="both"/>
        <w:rPr>
          <w:color w:val="4F81BD" w:themeColor="accent1"/>
        </w:rPr>
      </w:pPr>
      <w:r w:rsidRPr="00846A39">
        <w:rPr>
          <w:color w:val="4F81BD" w:themeColor="accent1"/>
        </w:rPr>
        <w:t>Oui.</w:t>
      </w:r>
      <w:r w:rsidRPr="7E4AD85E">
        <w:rPr>
          <w:color w:val="4F81BD" w:themeColor="accent1"/>
        </w:rPr>
        <w:t xml:space="preserve"> </w:t>
      </w:r>
    </w:p>
    <w:p w14:paraId="255E9D8B" w14:textId="1F2CA38A" w:rsidR="001E2736" w:rsidRDefault="001E2736" w:rsidP="00B777FE">
      <w:pPr>
        <w:numPr>
          <w:ilvl w:val="0"/>
          <w:numId w:val="8"/>
        </w:numPr>
        <w:spacing w:before="100" w:beforeAutospacing="1" w:after="240" w:line="240" w:lineRule="auto"/>
        <w:ind w:left="426"/>
        <w:jc w:val="both"/>
        <w:rPr>
          <w:rFonts w:eastAsia="Times New Roman"/>
        </w:rPr>
      </w:pPr>
      <w:r>
        <w:rPr>
          <w:rFonts w:eastAsia="Times New Roman"/>
        </w:rPr>
        <w:t>Quelles sont les dépenses éligibles concernant les frais de personnel</w:t>
      </w:r>
      <w:r w:rsidR="000846AE">
        <w:rPr>
          <w:rFonts w:eastAsia="Times New Roman"/>
        </w:rPr>
        <w:t> ?</w:t>
      </w:r>
    </w:p>
    <w:p w14:paraId="05DAFFA6" w14:textId="77777777" w:rsidR="00C45986" w:rsidRPr="00D75A7C" w:rsidRDefault="00C45986" w:rsidP="00B777FE">
      <w:pPr>
        <w:spacing w:after="240" w:line="240" w:lineRule="auto"/>
        <w:ind w:left="426"/>
        <w:jc w:val="both"/>
        <w:textAlignment w:val="center"/>
        <w:rPr>
          <w:rFonts w:ascii="Calibri" w:eastAsia="Times New Roman" w:hAnsi="Calibri" w:cs="Calibri"/>
          <w:lang w:eastAsia="fr-BE"/>
        </w:rPr>
      </w:pPr>
      <w:r w:rsidRPr="00D75A7C">
        <w:rPr>
          <w:rFonts w:ascii="Calibri" w:eastAsia="Times New Roman" w:hAnsi="Calibri" w:cs="Calibri"/>
          <w:lang w:eastAsia="fr-BE"/>
        </w:rPr>
        <w:t>Est-il possible d'activer des aides à l'emploi (points APE) pour les profils recrutés qui seront en charge des actions liées au pilier 1 ?</w:t>
      </w:r>
    </w:p>
    <w:p w14:paraId="7A2C5AE1" w14:textId="3C19B665" w:rsidR="000846AE" w:rsidRDefault="000846AE" w:rsidP="00B777FE">
      <w:pPr>
        <w:pStyle w:val="Paragraphedeliste"/>
        <w:spacing w:before="100" w:beforeAutospacing="1" w:after="240" w:line="240" w:lineRule="auto"/>
        <w:ind w:left="425"/>
        <w:contextualSpacing w:val="0"/>
        <w:jc w:val="both"/>
        <w:rPr>
          <w:color w:val="4F81BD" w:themeColor="accent1"/>
        </w:rPr>
      </w:pPr>
      <w:r w:rsidRPr="00CB0586">
        <w:rPr>
          <w:color w:val="4F81BD" w:themeColor="accent1"/>
        </w:rPr>
        <w:t xml:space="preserve">Les conditions applicables sont détaillées dans l’annexe 1 disponible via ce lien : </w:t>
      </w:r>
      <w:hyperlink r:id="rId12" w:history="1">
        <w:r w:rsidR="002C58AF" w:rsidRPr="003E14AF">
          <w:rPr>
            <w:rStyle w:val="Lienhypertexte"/>
          </w:rPr>
          <w:t>https://economie.wallonie.be/sit</w:t>
        </w:r>
        <w:r w:rsidR="002C58AF" w:rsidRPr="003E14AF">
          <w:rPr>
            <w:rStyle w:val="Lienhypertexte"/>
          </w:rPr>
          <w:t>e</w:t>
        </w:r>
        <w:r w:rsidR="002C58AF" w:rsidRPr="003E14AF">
          <w:rPr>
            <w:rStyle w:val="Lienhypertexte"/>
          </w:rPr>
          <w:t>s/default/files/Annexe%201%20v_2021.pdf</w:t>
        </w:r>
      </w:hyperlink>
      <w:r w:rsidR="002C58AF">
        <w:rPr>
          <w:color w:val="4F81BD" w:themeColor="accent1"/>
        </w:rPr>
        <w:t xml:space="preserve"> </w:t>
      </w:r>
      <w:r w:rsidRPr="00CB0586">
        <w:rPr>
          <w:color w:val="4F81BD" w:themeColor="accent1"/>
        </w:rPr>
        <w:t>.</w:t>
      </w:r>
    </w:p>
    <w:p w14:paraId="7636E1EF" w14:textId="4F0A4996" w:rsidR="00C45986" w:rsidRPr="00CB0586" w:rsidRDefault="00540885" w:rsidP="00B777FE">
      <w:pPr>
        <w:pStyle w:val="Paragraphedeliste"/>
        <w:spacing w:before="100" w:beforeAutospacing="1" w:after="240" w:line="240" w:lineRule="auto"/>
        <w:ind w:left="426"/>
        <w:contextualSpacing w:val="0"/>
        <w:jc w:val="both"/>
        <w:rPr>
          <w:color w:val="4F81BD" w:themeColor="accent1"/>
        </w:rPr>
      </w:pPr>
      <w:r w:rsidRPr="00540885">
        <w:rPr>
          <w:color w:val="4F81BD" w:themeColor="accent1"/>
        </w:rPr>
        <w:t>Les frais de personnel doivent être présentés déduction faite de toute réduction salariale</w:t>
      </w:r>
      <w:r w:rsidR="00BF466A">
        <w:rPr>
          <w:color w:val="4F81BD" w:themeColor="accent1"/>
        </w:rPr>
        <w:t xml:space="preserve"> </w:t>
      </w:r>
      <w:r w:rsidRPr="00540885">
        <w:rPr>
          <w:color w:val="4F81BD" w:themeColor="accent1"/>
        </w:rPr>
        <w:t xml:space="preserve">ou intervention de tiers (APE, prime à l’emploi, jours de congé étude, mise à disposition, ...). </w:t>
      </w:r>
    </w:p>
    <w:p w14:paraId="5D08D53C" w14:textId="020C1A6E" w:rsidR="00505238" w:rsidRDefault="00505238" w:rsidP="00B777FE">
      <w:pPr>
        <w:numPr>
          <w:ilvl w:val="0"/>
          <w:numId w:val="8"/>
        </w:numPr>
        <w:spacing w:before="100" w:beforeAutospacing="1" w:after="240" w:line="240" w:lineRule="auto"/>
        <w:ind w:left="426"/>
        <w:jc w:val="both"/>
        <w:rPr>
          <w:rFonts w:eastAsia="Times New Roman"/>
        </w:rPr>
      </w:pPr>
      <w:r>
        <w:rPr>
          <w:rFonts w:eastAsia="Times New Roman"/>
        </w:rPr>
        <w:t>Dans le cas du recours à de la sous-traitance, y a-t-il un plafond fixé pour les taux journaliers de prestations ?</w:t>
      </w:r>
    </w:p>
    <w:p w14:paraId="5A12D9AE" w14:textId="7095D00C" w:rsidR="00505238" w:rsidRPr="00CB0586" w:rsidRDefault="2ADEC044" w:rsidP="00B777FE">
      <w:pPr>
        <w:pStyle w:val="Paragraphedeliste"/>
        <w:spacing w:before="100" w:beforeAutospacing="1" w:after="240" w:line="240" w:lineRule="auto"/>
        <w:ind w:left="426"/>
        <w:contextualSpacing w:val="0"/>
        <w:jc w:val="both"/>
        <w:rPr>
          <w:color w:val="4F81BD" w:themeColor="accent1"/>
        </w:rPr>
      </w:pPr>
      <w:r w:rsidRPr="00CB0586">
        <w:rPr>
          <w:color w:val="4F81BD" w:themeColor="accent1"/>
        </w:rPr>
        <w:t xml:space="preserve">Oui. </w:t>
      </w:r>
      <w:r w:rsidR="00DD1AEB" w:rsidRPr="00CB0586">
        <w:rPr>
          <w:color w:val="4F81BD" w:themeColor="accent1"/>
        </w:rPr>
        <w:t>Les conditions applicables sont détaillées dans l’annexe 1</w:t>
      </w:r>
      <w:r w:rsidR="00AC6953" w:rsidRPr="00CB0586">
        <w:rPr>
          <w:color w:val="4F81BD" w:themeColor="accent1"/>
        </w:rPr>
        <w:t xml:space="preserve"> disponible via ce lien :</w:t>
      </w:r>
      <w:r w:rsidRPr="00CB0586">
        <w:rPr>
          <w:color w:val="4F81BD" w:themeColor="accent1"/>
        </w:rPr>
        <w:t xml:space="preserve"> </w:t>
      </w:r>
      <w:hyperlink r:id="rId13" w:history="1">
        <w:r w:rsidR="00840350" w:rsidRPr="003E14AF">
          <w:rPr>
            <w:rStyle w:val="Lienhypertexte"/>
          </w:rPr>
          <w:t>https://economie.wallonie.be/sites/default/files/Annexe%201%20v_2021.pdf</w:t>
        </w:r>
      </w:hyperlink>
      <w:r w:rsidR="00840350">
        <w:rPr>
          <w:color w:val="4F81BD" w:themeColor="accent1"/>
        </w:rPr>
        <w:t xml:space="preserve"> </w:t>
      </w:r>
      <w:r w:rsidRPr="00CB0586">
        <w:rPr>
          <w:color w:val="4F81BD" w:themeColor="accent1"/>
        </w:rPr>
        <w:t xml:space="preserve">. </w:t>
      </w:r>
    </w:p>
    <w:p w14:paraId="2A3E188D" w14:textId="326967BB" w:rsidR="004735A5" w:rsidRDefault="004735A5" w:rsidP="00B777FE">
      <w:pPr>
        <w:numPr>
          <w:ilvl w:val="0"/>
          <w:numId w:val="6"/>
        </w:numPr>
        <w:spacing w:before="100" w:beforeAutospacing="1" w:after="240" w:line="240" w:lineRule="auto"/>
        <w:ind w:left="426"/>
        <w:jc w:val="both"/>
        <w:rPr>
          <w:rFonts w:eastAsia="Times New Roman"/>
          <w:color w:val="000000"/>
        </w:rPr>
      </w:pPr>
      <w:r>
        <w:rPr>
          <w:rFonts w:eastAsia="Times New Roman"/>
          <w:color w:val="000000"/>
        </w:rPr>
        <w:lastRenderedPageBreak/>
        <w:t>Un montant maximum peut être alloué par blocs d’actions. Des frais de fonctionnement de 15% sont éligibles et sont calculés sur les frais de personnel. Est-ce que le montant maximum inclut les frais de fonctionnement ou viennent-il en addition ?</w:t>
      </w:r>
    </w:p>
    <w:p w14:paraId="2B409218" w14:textId="03D6D1C2" w:rsidR="004735A5" w:rsidRDefault="00637CAF" w:rsidP="00B777FE">
      <w:pPr>
        <w:spacing w:before="100" w:beforeAutospacing="1" w:after="240" w:line="240" w:lineRule="auto"/>
        <w:ind w:left="426"/>
        <w:jc w:val="both"/>
        <w:rPr>
          <w:color w:val="4F81BD" w:themeColor="accent1"/>
        </w:rPr>
      </w:pPr>
      <w:r>
        <w:rPr>
          <w:color w:val="4F81BD" w:themeColor="accent1"/>
        </w:rPr>
        <w:t>Le plafond inclut l</w:t>
      </w:r>
      <w:r w:rsidR="004735A5" w:rsidRPr="00776C05">
        <w:rPr>
          <w:color w:val="4F81BD" w:themeColor="accent1"/>
        </w:rPr>
        <w:t>es frais de fonctionnement</w:t>
      </w:r>
      <w:r w:rsidR="004735A5">
        <w:rPr>
          <w:color w:val="4F81BD" w:themeColor="accent1"/>
        </w:rPr>
        <w:t xml:space="preserve">. </w:t>
      </w:r>
    </w:p>
    <w:p w14:paraId="1D97A5AF" w14:textId="351715B6" w:rsidR="00BF56F0" w:rsidRPr="00776C05" w:rsidRDefault="00BF56F0" w:rsidP="00B777FE">
      <w:pPr>
        <w:spacing w:before="100" w:beforeAutospacing="1" w:after="240" w:line="240" w:lineRule="auto"/>
        <w:ind w:left="426"/>
        <w:jc w:val="both"/>
        <w:rPr>
          <w:color w:val="4F81BD" w:themeColor="accent1"/>
        </w:rPr>
      </w:pPr>
      <w:r>
        <w:rPr>
          <w:color w:val="4F81BD" w:themeColor="accent1"/>
        </w:rPr>
        <w:t>De manière plus globale les plafonds</w:t>
      </w:r>
      <w:r w:rsidR="000E2A17">
        <w:rPr>
          <w:color w:val="4F81BD" w:themeColor="accent1"/>
        </w:rPr>
        <w:t xml:space="preserve"> portent sur l’ensemble des actions, quelle que soit leur forme</w:t>
      </w:r>
      <w:r w:rsidR="00267BE2">
        <w:rPr>
          <w:color w:val="4F81BD" w:themeColor="accent1"/>
        </w:rPr>
        <w:t xml:space="preserve"> (recrutement ou sous-traitance)</w:t>
      </w:r>
      <w:r w:rsidR="000E2A17">
        <w:rPr>
          <w:color w:val="4F81BD" w:themeColor="accent1"/>
        </w:rPr>
        <w:t>.</w:t>
      </w:r>
    </w:p>
    <w:p w14:paraId="167CFFF0" w14:textId="5FAB172E" w:rsidR="00077FD4" w:rsidRPr="00F710E7" w:rsidRDefault="00077FD4" w:rsidP="00B777FE">
      <w:pPr>
        <w:numPr>
          <w:ilvl w:val="0"/>
          <w:numId w:val="6"/>
        </w:numPr>
        <w:spacing w:before="100" w:beforeAutospacing="1" w:after="240" w:line="240" w:lineRule="auto"/>
        <w:ind w:left="426"/>
        <w:jc w:val="both"/>
        <w:rPr>
          <w:rFonts w:eastAsia="Times New Roman"/>
          <w:color w:val="000000"/>
        </w:rPr>
      </w:pPr>
      <w:r w:rsidRPr="00F710E7">
        <w:rPr>
          <w:rFonts w:eastAsia="Times New Roman"/>
          <w:color w:val="000000"/>
        </w:rPr>
        <w:t xml:space="preserve">Si toutes les prestations sont sous-traitées, </w:t>
      </w:r>
      <w:r w:rsidR="00463535" w:rsidRPr="00F710E7">
        <w:rPr>
          <w:rFonts w:eastAsia="Times New Roman"/>
          <w:color w:val="000000"/>
        </w:rPr>
        <w:t xml:space="preserve">est-il possible </w:t>
      </w:r>
      <w:r w:rsidR="00307F07" w:rsidRPr="00F710E7">
        <w:rPr>
          <w:rFonts w:eastAsia="Times New Roman"/>
          <w:color w:val="000000"/>
        </w:rPr>
        <w:t xml:space="preserve">de </w:t>
      </w:r>
      <w:r w:rsidR="00804076" w:rsidRPr="00F710E7">
        <w:rPr>
          <w:rFonts w:eastAsia="Times New Roman"/>
          <w:color w:val="000000"/>
        </w:rPr>
        <w:t>financer</w:t>
      </w:r>
      <w:r w:rsidR="00307F07" w:rsidRPr="00F710E7">
        <w:rPr>
          <w:rFonts w:eastAsia="Times New Roman"/>
          <w:color w:val="000000"/>
        </w:rPr>
        <w:t xml:space="preserve"> d</w:t>
      </w:r>
      <w:r w:rsidRPr="00F710E7">
        <w:rPr>
          <w:rFonts w:eastAsia="Times New Roman"/>
          <w:color w:val="000000"/>
        </w:rPr>
        <w:t>es frais de fonctionnement</w:t>
      </w:r>
      <w:r w:rsidR="00F710E7">
        <w:rPr>
          <w:rFonts w:eastAsia="Times New Roman"/>
          <w:color w:val="000000"/>
        </w:rPr>
        <w:t> ?</w:t>
      </w:r>
    </w:p>
    <w:p w14:paraId="54736557" w14:textId="1655EBCF" w:rsidR="00077FD4" w:rsidRPr="003757FF" w:rsidRDefault="00F710E7" w:rsidP="00B777FE">
      <w:pPr>
        <w:pStyle w:val="elementtoproof"/>
        <w:spacing w:after="240" w:afterAutospacing="0"/>
        <w:ind w:left="426"/>
        <w:jc w:val="both"/>
        <w:rPr>
          <w:rFonts w:asciiTheme="minorHAnsi" w:hAnsiTheme="minorHAnsi" w:cstheme="minorBidi"/>
          <w:color w:val="4F81BD" w:themeColor="accent1"/>
          <w:lang w:eastAsia="en-US"/>
        </w:rPr>
      </w:pPr>
      <w:r>
        <w:rPr>
          <w:rFonts w:asciiTheme="minorHAnsi" w:hAnsiTheme="minorHAnsi" w:cstheme="minorBidi"/>
          <w:color w:val="4F81BD" w:themeColor="accent1"/>
          <w:lang w:eastAsia="en-US"/>
        </w:rPr>
        <w:t>Non.</w:t>
      </w:r>
    </w:p>
    <w:p w14:paraId="67317763" w14:textId="62BD6E1D" w:rsidR="004735A5" w:rsidRDefault="004735A5" w:rsidP="00B777FE">
      <w:pPr>
        <w:numPr>
          <w:ilvl w:val="0"/>
          <w:numId w:val="6"/>
        </w:numPr>
        <w:spacing w:before="100" w:beforeAutospacing="1" w:after="240" w:line="240" w:lineRule="auto"/>
        <w:ind w:left="426"/>
        <w:jc w:val="both"/>
        <w:rPr>
          <w:rFonts w:eastAsia="Times New Roman"/>
          <w:color w:val="000000"/>
        </w:rPr>
      </w:pPr>
      <w:r>
        <w:rPr>
          <w:rFonts w:eastAsia="Times New Roman"/>
          <w:color w:val="000000"/>
        </w:rPr>
        <w:t xml:space="preserve">Concernant les frais de communication, est-ce que le matériel de communication est éligible (site internet, </w:t>
      </w:r>
      <w:proofErr w:type="spellStart"/>
      <w:r>
        <w:rPr>
          <w:rFonts w:eastAsia="Times New Roman"/>
          <w:color w:val="000000"/>
        </w:rPr>
        <w:t>rollups</w:t>
      </w:r>
      <w:proofErr w:type="spellEnd"/>
      <w:r>
        <w:rPr>
          <w:rFonts w:eastAsia="Times New Roman"/>
          <w:color w:val="000000"/>
        </w:rPr>
        <w:t>, goodies …) ? Il est mentionné que les frais de location pour des événement</w:t>
      </w:r>
      <w:r w:rsidR="00BC406A">
        <w:rPr>
          <w:rFonts w:eastAsia="Times New Roman"/>
          <w:color w:val="000000"/>
        </w:rPr>
        <w:t>s</w:t>
      </w:r>
      <w:r>
        <w:rPr>
          <w:rFonts w:eastAsia="Times New Roman"/>
          <w:color w:val="000000"/>
        </w:rPr>
        <w:t xml:space="preserve"> sont inclus dans ces frais. Quid du catering ? </w:t>
      </w:r>
    </w:p>
    <w:p w14:paraId="655B61B2" w14:textId="33C7DF9F" w:rsidR="004735A5" w:rsidRDefault="0066489E" w:rsidP="00B777FE">
      <w:pPr>
        <w:spacing w:before="100" w:beforeAutospacing="1" w:after="240" w:line="240" w:lineRule="auto"/>
        <w:ind w:left="426"/>
        <w:jc w:val="both"/>
        <w:rPr>
          <w:color w:val="4F81BD" w:themeColor="accent1"/>
        </w:rPr>
      </w:pPr>
      <w:r>
        <w:rPr>
          <w:color w:val="4F81BD" w:themeColor="accent1"/>
        </w:rPr>
        <w:t xml:space="preserve">Du matériel de communication peut </w:t>
      </w:r>
      <w:r w:rsidR="00A06BE0">
        <w:rPr>
          <w:color w:val="4F81BD" w:themeColor="accent1"/>
        </w:rPr>
        <w:t>être prévu. Toutefois, l</w:t>
      </w:r>
      <w:r w:rsidR="001038E2" w:rsidRPr="001038E2">
        <w:rPr>
          <w:color w:val="4F81BD" w:themeColor="accent1"/>
        </w:rPr>
        <w:t>es propositions en matière de communication seront analysées</w:t>
      </w:r>
      <w:r w:rsidR="001038E2">
        <w:rPr>
          <w:color w:val="4F81BD" w:themeColor="accent1"/>
        </w:rPr>
        <w:t xml:space="preserve"> en tenant compte </w:t>
      </w:r>
      <w:r>
        <w:rPr>
          <w:color w:val="4F81BD" w:themeColor="accent1"/>
        </w:rPr>
        <w:t xml:space="preserve">de l’articulation </w:t>
      </w:r>
      <w:r w:rsidR="00A06BE0">
        <w:rPr>
          <w:color w:val="4F81BD" w:themeColor="accent1"/>
        </w:rPr>
        <w:t xml:space="preserve">avec les actions prévues au niveau </w:t>
      </w:r>
      <w:r w:rsidR="00955045">
        <w:rPr>
          <w:color w:val="4F81BD" w:themeColor="accent1"/>
        </w:rPr>
        <w:t>de la S3 de manière générale</w:t>
      </w:r>
      <w:r w:rsidR="00BC406A">
        <w:rPr>
          <w:color w:val="4F81BD" w:themeColor="accent1"/>
        </w:rPr>
        <w:t xml:space="preserve"> (site intern</w:t>
      </w:r>
      <w:r w:rsidR="00336851">
        <w:rPr>
          <w:color w:val="4F81BD" w:themeColor="accent1"/>
        </w:rPr>
        <w:t>e</w:t>
      </w:r>
      <w:r w:rsidR="00BC406A">
        <w:rPr>
          <w:color w:val="4F81BD" w:themeColor="accent1"/>
        </w:rPr>
        <w:t xml:space="preserve">t, stratégie de </w:t>
      </w:r>
      <w:proofErr w:type="gramStart"/>
      <w:r w:rsidR="00BC406A">
        <w:rPr>
          <w:color w:val="4F81BD" w:themeColor="accent1"/>
        </w:rPr>
        <w:t>communication</w:t>
      </w:r>
      <w:r w:rsidR="00336851">
        <w:rPr>
          <w:color w:val="4F81BD" w:themeColor="accent1"/>
        </w:rPr>
        <w:t>,…</w:t>
      </w:r>
      <w:proofErr w:type="gramEnd"/>
      <w:r w:rsidR="00336851">
        <w:rPr>
          <w:color w:val="4F81BD" w:themeColor="accent1"/>
        </w:rPr>
        <w:t>). Il est attendu que les IIS contribuent à alimenter</w:t>
      </w:r>
      <w:r w:rsidR="00E718F9">
        <w:rPr>
          <w:color w:val="4F81BD" w:themeColor="accent1"/>
        </w:rPr>
        <w:t xml:space="preserve"> la communication globale sur la S3.</w:t>
      </w:r>
    </w:p>
    <w:p w14:paraId="73302018" w14:textId="6CF62153" w:rsidR="00BC406A" w:rsidRDefault="00BC406A" w:rsidP="00B777FE">
      <w:pPr>
        <w:spacing w:before="100" w:beforeAutospacing="1" w:after="240" w:line="240" w:lineRule="auto"/>
        <w:ind w:left="426"/>
        <w:jc w:val="both"/>
        <w:rPr>
          <w:color w:val="4F81BD" w:themeColor="accent1"/>
        </w:rPr>
      </w:pPr>
      <w:r>
        <w:rPr>
          <w:color w:val="4F81BD" w:themeColor="accent1"/>
        </w:rPr>
        <w:t>Les frais d’organisation d’événement incluent le catering.</w:t>
      </w:r>
    </w:p>
    <w:p w14:paraId="12DCE2FB" w14:textId="4A9D199A" w:rsidR="003A1E4D" w:rsidRPr="001038E2" w:rsidRDefault="003A1E4D" w:rsidP="00B777FE">
      <w:pPr>
        <w:spacing w:before="100" w:beforeAutospacing="1" w:after="240" w:line="240" w:lineRule="auto"/>
        <w:ind w:left="426"/>
        <w:jc w:val="both"/>
        <w:rPr>
          <w:color w:val="4F81BD" w:themeColor="accent1"/>
        </w:rPr>
      </w:pPr>
      <w:r w:rsidRPr="00CB0586">
        <w:rPr>
          <w:color w:val="4F81BD" w:themeColor="accent1"/>
        </w:rPr>
        <w:t xml:space="preserve">Les conditions applicables sont détaillées dans l’annexe 1 disponible via ce lien : </w:t>
      </w:r>
      <w:hyperlink r:id="rId14" w:history="1">
        <w:r w:rsidR="00840350" w:rsidRPr="003E14AF">
          <w:rPr>
            <w:rStyle w:val="Lienhypertexte"/>
          </w:rPr>
          <w:t>https://economie.wallonie.be/sites/default/files/Annexe%201%20v_2021.pdf</w:t>
        </w:r>
      </w:hyperlink>
      <w:r w:rsidR="00840350">
        <w:rPr>
          <w:color w:val="4F81BD" w:themeColor="accent1"/>
        </w:rPr>
        <w:t xml:space="preserve"> </w:t>
      </w:r>
      <w:r w:rsidRPr="00CB0586">
        <w:rPr>
          <w:color w:val="4F81BD" w:themeColor="accent1"/>
        </w:rPr>
        <w:t>.</w:t>
      </w:r>
    </w:p>
    <w:p w14:paraId="19B8BF96" w14:textId="6FBBDE91" w:rsidR="008C046A" w:rsidRDefault="008C046A" w:rsidP="00B777FE">
      <w:pPr>
        <w:pStyle w:val="Paragraphedeliste"/>
        <w:numPr>
          <w:ilvl w:val="0"/>
          <w:numId w:val="6"/>
        </w:numPr>
        <w:spacing w:before="100" w:beforeAutospacing="1" w:after="240" w:line="240" w:lineRule="auto"/>
        <w:ind w:left="426"/>
        <w:contextualSpacing w:val="0"/>
        <w:jc w:val="both"/>
        <w:rPr>
          <w:rFonts w:eastAsia="Times New Roman"/>
          <w:color w:val="000000"/>
        </w:rPr>
      </w:pPr>
      <w:r w:rsidRPr="0044332F">
        <w:rPr>
          <w:rFonts w:eastAsia="Times New Roman"/>
          <w:color w:val="000000"/>
        </w:rPr>
        <w:t>Qu’</w:t>
      </w:r>
      <w:r w:rsidR="00A00E0A">
        <w:rPr>
          <w:rFonts w:eastAsia="Times New Roman"/>
          <w:color w:val="000000"/>
        </w:rPr>
        <w:t>entend</w:t>
      </w:r>
      <w:r w:rsidR="002E708F">
        <w:rPr>
          <w:rFonts w:eastAsia="Times New Roman"/>
          <w:color w:val="000000"/>
        </w:rPr>
        <w:t>-</w:t>
      </w:r>
      <w:r w:rsidR="00A00E0A">
        <w:rPr>
          <w:rFonts w:eastAsia="Times New Roman"/>
          <w:color w:val="000000"/>
        </w:rPr>
        <w:t xml:space="preserve">on </w:t>
      </w:r>
      <w:r w:rsidRPr="0044332F">
        <w:rPr>
          <w:rFonts w:eastAsia="Times New Roman"/>
          <w:color w:val="000000"/>
        </w:rPr>
        <w:t xml:space="preserve">exactement </w:t>
      </w:r>
      <w:r w:rsidR="00A00E0A">
        <w:rPr>
          <w:rFonts w:eastAsia="Times New Roman"/>
          <w:color w:val="000000"/>
        </w:rPr>
        <w:t xml:space="preserve">par </w:t>
      </w:r>
      <w:r w:rsidRPr="0044332F">
        <w:rPr>
          <w:rFonts w:eastAsia="Times New Roman"/>
          <w:color w:val="000000"/>
        </w:rPr>
        <w:t>référent international ? Selon les coûts éligibles, il y a à la fois des frais de sous-traitance et des frais de personnel. Peut-on mixer les financements et peut-on imaginer un binôme ?</w:t>
      </w:r>
    </w:p>
    <w:p w14:paraId="48A6ABF3" w14:textId="77777777" w:rsidR="00E17EC6" w:rsidRDefault="008C046A" w:rsidP="00B777FE">
      <w:pPr>
        <w:pStyle w:val="Paragraphedeliste"/>
        <w:spacing w:before="100" w:beforeAutospacing="1" w:after="240" w:line="240" w:lineRule="auto"/>
        <w:ind w:left="426"/>
        <w:contextualSpacing w:val="0"/>
        <w:jc w:val="both"/>
        <w:rPr>
          <w:color w:val="4F81BD" w:themeColor="accent1"/>
        </w:rPr>
      </w:pPr>
      <w:r w:rsidRPr="00AF75AC">
        <w:rPr>
          <w:color w:val="4F81BD" w:themeColor="accent1"/>
        </w:rPr>
        <w:t>Le bloc 2 vise à doter les IIS de ressources – en particulier de ressources humaines – pour le développement de leur stratégie internationale. Cela peut se faire via recrutement ou recours à une expertise externe</w:t>
      </w:r>
      <w:r>
        <w:rPr>
          <w:color w:val="4F81BD" w:themeColor="accent1"/>
        </w:rPr>
        <w:t xml:space="preserve"> (ou un mix des 2),</w:t>
      </w:r>
      <w:r w:rsidRPr="00AF75AC">
        <w:rPr>
          <w:color w:val="4F81BD" w:themeColor="accent1"/>
        </w:rPr>
        <w:t xml:space="preserve"> pour doter l’IIS d’une personne de référence </w:t>
      </w:r>
      <w:r w:rsidR="005858D5">
        <w:rPr>
          <w:color w:val="4F81BD" w:themeColor="accent1"/>
        </w:rPr>
        <w:t xml:space="preserve">dotée de l’expertise nécessaire </w:t>
      </w:r>
      <w:r w:rsidRPr="00AF75AC">
        <w:rPr>
          <w:color w:val="4F81BD" w:themeColor="accent1"/>
        </w:rPr>
        <w:t xml:space="preserve">sur ces aspects. </w:t>
      </w:r>
    </w:p>
    <w:p w14:paraId="4A560DA2" w14:textId="57829BFA" w:rsidR="008C046A" w:rsidRDefault="008C046A" w:rsidP="00B777FE">
      <w:pPr>
        <w:pStyle w:val="Paragraphedeliste"/>
        <w:spacing w:before="100" w:beforeAutospacing="1" w:after="240" w:line="240" w:lineRule="auto"/>
        <w:ind w:left="426"/>
        <w:contextualSpacing w:val="0"/>
        <w:jc w:val="both"/>
        <w:rPr>
          <w:color w:val="4F81BD" w:themeColor="accent1"/>
        </w:rPr>
      </w:pPr>
      <w:r>
        <w:rPr>
          <w:color w:val="4F81BD" w:themeColor="accent1"/>
        </w:rPr>
        <w:t xml:space="preserve">Il revient à chaque IIS de développer </w:t>
      </w:r>
      <w:r w:rsidR="00FF0128">
        <w:rPr>
          <w:color w:val="4F81BD" w:themeColor="accent1"/>
        </w:rPr>
        <w:t xml:space="preserve">pour cette fonction </w:t>
      </w:r>
      <w:r>
        <w:rPr>
          <w:color w:val="4F81BD" w:themeColor="accent1"/>
        </w:rPr>
        <w:t>une approche</w:t>
      </w:r>
      <w:r w:rsidR="00FF0128">
        <w:rPr>
          <w:color w:val="4F81BD" w:themeColor="accent1"/>
        </w:rPr>
        <w:t xml:space="preserve"> et des activités </w:t>
      </w:r>
      <w:r>
        <w:rPr>
          <w:color w:val="4F81BD" w:themeColor="accent1"/>
        </w:rPr>
        <w:t>propre</w:t>
      </w:r>
      <w:r w:rsidR="00FF0128">
        <w:rPr>
          <w:color w:val="4F81BD" w:themeColor="accent1"/>
        </w:rPr>
        <w:t>s</w:t>
      </w:r>
      <w:r>
        <w:rPr>
          <w:color w:val="4F81BD" w:themeColor="accent1"/>
        </w:rPr>
        <w:t xml:space="preserve"> à ses besoins</w:t>
      </w:r>
      <w:r w:rsidR="00A00E0A">
        <w:rPr>
          <w:color w:val="4F81BD" w:themeColor="accent1"/>
        </w:rPr>
        <w:t xml:space="preserve"> et à son plan d’action</w:t>
      </w:r>
      <w:r>
        <w:rPr>
          <w:color w:val="4F81BD" w:themeColor="accent1"/>
        </w:rPr>
        <w:t>.</w:t>
      </w:r>
    </w:p>
    <w:p w14:paraId="41703216" w14:textId="77777777" w:rsidR="00A653EF" w:rsidRDefault="00BE6210" w:rsidP="00B777FE">
      <w:pPr>
        <w:pStyle w:val="Paragraphedeliste"/>
        <w:numPr>
          <w:ilvl w:val="0"/>
          <w:numId w:val="6"/>
        </w:numPr>
        <w:spacing w:before="100" w:beforeAutospacing="1" w:after="240" w:line="240" w:lineRule="auto"/>
        <w:ind w:left="426"/>
        <w:contextualSpacing w:val="0"/>
        <w:jc w:val="both"/>
        <w:rPr>
          <w:rFonts w:eastAsia="Times New Roman"/>
          <w:color w:val="000000"/>
        </w:rPr>
      </w:pPr>
      <w:r w:rsidRPr="00A653EF">
        <w:rPr>
          <w:rFonts w:eastAsia="Times New Roman"/>
          <w:color w:val="000000"/>
        </w:rPr>
        <w:t>Q</w:t>
      </w:r>
      <w:r w:rsidR="00D5450D" w:rsidRPr="00A653EF">
        <w:rPr>
          <w:rFonts w:eastAsia="Times New Roman"/>
          <w:color w:val="000000"/>
        </w:rPr>
        <w:t>uelles sont les activités à prévoir pour le bloc 3 lié aux activités européennes</w:t>
      </w:r>
      <w:r w:rsidR="00B56F4B" w:rsidRPr="00A653EF">
        <w:rPr>
          <w:rFonts w:eastAsia="Times New Roman"/>
          <w:color w:val="000000"/>
        </w:rPr>
        <w:t>, sachant qu’il n’est pas possible de connaître avec précision les activités qui seront développées</w:t>
      </w:r>
      <w:r w:rsidR="00A653EF" w:rsidRPr="00A653EF">
        <w:rPr>
          <w:rFonts w:eastAsia="Times New Roman"/>
          <w:color w:val="000000"/>
        </w:rPr>
        <w:t xml:space="preserve">, les </w:t>
      </w:r>
      <w:proofErr w:type="gramStart"/>
      <w:r w:rsidR="00A653EF" w:rsidRPr="00A653EF">
        <w:rPr>
          <w:rFonts w:eastAsia="Times New Roman"/>
          <w:color w:val="000000"/>
        </w:rPr>
        <w:t>appels,…</w:t>
      </w:r>
      <w:proofErr w:type="gramEnd"/>
      <w:r w:rsidR="00A653EF" w:rsidRPr="00A653EF">
        <w:rPr>
          <w:rFonts w:eastAsia="Times New Roman"/>
          <w:color w:val="000000"/>
        </w:rPr>
        <w:t>.</w:t>
      </w:r>
    </w:p>
    <w:p w14:paraId="26D68E11" w14:textId="4CE58355" w:rsidR="00A653EF" w:rsidRPr="00A653EF" w:rsidRDefault="0024343D" w:rsidP="00B777FE">
      <w:pPr>
        <w:pStyle w:val="Paragraphedeliste"/>
        <w:spacing w:before="100" w:beforeAutospacing="1" w:after="240" w:line="240" w:lineRule="auto"/>
        <w:ind w:left="426"/>
        <w:contextualSpacing w:val="0"/>
        <w:jc w:val="both"/>
        <w:rPr>
          <w:color w:val="4F81BD" w:themeColor="accent1"/>
        </w:rPr>
      </w:pPr>
      <w:r>
        <w:rPr>
          <w:color w:val="4F81BD" w:themeColor="accent1"/>
        </w:rPr>
        <w:t xml:space="preserve">Le bloc 3 vise le développement d’activités de support </w:t>
      </w:r>
      <w:r w:rsidR="00FB33B9">
        <w:rPr>
          <w:color w:val="4F81BD" w:themeColor="accent1"/>
        </w:rPr>
        <w:t xml:space="preserve">génériques </w:t>
      </w:r>
      <w:r w:rsidR="004A7E04">
        <w:rPr>
          <w:color w:val="4F81BD" w:themeColor="accent1"/>
        </w:rPr>
        <w:t xml:space="preserve">et collectives </w:t>
      </w:r>
      <w:r w:rsidR="007F064B">
        <w:rPr>
          <w:color w:val="4F81BD" w:themeColor="accent1"/>
        </w:rPr>
        <w:t>aux partenaires de l’IIS</w:t>
      </w:r>
      <w:r w:rsidR="00AF2087">
        <w:rPr>
          <w:color w:val="4F81BD" w:themeColor="accent1"/>
        </w:rPr>
        <w:t xml:space="preserve">, de représentation internationale de </w:t>
      </w:r>
      <w:proofErr w:type="gramStart"/>
      <w:r w:rsidR="00AF2087">
        <w:rPr>
          <w:color w:val="4F81BD" w:themeColor="accent1"/>
        </w:rPr>
        <w:t>l’IIS,…</w:t>
      </w:r>
      <w:proofErr w:type="gramEnd"/>
      <w:r w:rsidR="007F064B">
        <w:rPr>
          <w:color w:val="4F81BD" w:themeColor="accent1"/>
        </w:rPr>
        <w:t>. Il est attendu que l’IIS définisse le type d’actions à mener en fonction de ses besoins</w:t>
      </w:r>
      <w:r w:rsidR="008E071A">
        <w:rPr>
          <w:color w:val="4F81BD" w:themeColor="accent1"/>
        </w:rPr>
        <w:t>, sans rentrer dans le détail des projets.</w:t>
      </w:r>
      <w:r w:rsidR="00AF2087">
        <w:rPr>
          <w:color w:val="4F81BD" w:themeColor="accent1"/>
        </w:rPr>
        <w:t xml:space="preserve"> </w:t>
      </w:r>
      <w:r w:rsidR="00BE2751">
        <w:rPr>
          <w:color w:val="4F81BD" w:themeColor="accent1"/>
        </w:rPr>
        <w:t xml:space="preserve">Ce financement ne vise pas l’appui à des projets </w:t>
      </w:r>
      <w:r w:rsidR="00D21F33">
        <w:rPr>
          <w:color w:val="4F81BD" w:themeColor="accent1"/>
        </w:rPr>
        <w:t>spécifiques des partenaires de l’IIS</w:t>
      </w:r>
      <w:r w:rsidR="00211560">
        <w:rPr>
          <w:color w:val="4F81BD" w:themeColor="accent1"/>
        </w:rPr>
        <w:t xml:space="preserve"> au-delà de la rédaction. L’appui aux projets spécifiques relève du volet 2</w:t>
      </w:r>
      <w:r w:rsidR="005B4B65">
        <w:rPr>
          <w:color w:val="4F81BD" w:themeColor="accent1"/>
        </w:rPr>
        <w:t xml:space="preserve"> – Soutien aux projets EU et d’internationalisation des IIS.</w:t>
      </w:r>
    </w:p>
    <w:p w14:paraId="7DBFC466" w14:textId="77777777" w:rsidR="004735A5" w:rsidRDefault="004735A5" w:rsidP="00B777FE">
      <w:pPr>
        <w:numPr>
          <w:ilvl w:val="0"/>
          <w:numId w:val="6"/>
        </w:numPr>
        <w:spacing w:before="100" w:beforeAutospacing="1" w:after="240" w:line="240" w:lineRule="auto"/>
        <w:ind w:left="426"/>
        <w:jc w:val="both"/>
        <w:rPr>
          <w:rFonts w:eastAsia="Times New Roman"/>
          <w:color w:val="000000"/>
        </w:rPr>
      </w:pPr>
      <w:r>
        <w:rPr>
          <w:rFonts w:eastAsia="Times New Roman"/>
          <w:color w:val="000000"/>
        </w:rPr>
        <w:lastRenderedPageBreak/>
        <w:t>Des frais de mission à l’étranger sont permis. Est-ce que la règle liée au financement wallon est appliquée ou sont-ils libres ? Etant donné qu’un seul acteur est bénéficiaire, peut-il inclure des frais de missions liés à d’autres acteurs du consortium de l’IIS ?</w:t>
      </w:r>
    </w:p>
    <w:p w14:paraId="33AAE66E" w14:textId="78C984B0" w:rsidR="008268F2" w:rsidRDefault="00AF41F2" w:rsidP="00B777FE">
      <w:pPr>
        <w:pStyle w:val="Paragraphedeliste"/>
        <w:spacing w:after="240" w:line="240" w:lineRule="auto"/>
        <w:ind w:left="426"/>
        <w:contextualSpacing w:val="0"/>
        <w:jc w:val="both"/>
        <w:rPr>
          <w:rFonts w:eastAsia="Times New Roman"/>
          <w:color w:val="4F81BD" w:themeColor="accent1"/>
        </w:rPr>
      </w:pPr>
      <w:r w:rsidRPr="00AF41F2">
        <w:rPr>
          <w:rFonts w:eastAsia="Times New Roman"/>
          <w:color w:val="4F81BD" w:themeColor="accent1"/>
        </w:rPr>
        <w:t>Les règles relatives aux frais de mission sont détaillée</w:t>
      </w:r>
      <w:r w:rsidR="00302859">
        <w:rPr>
          <w:rFonts w:eastAsia="Times New Roman"/>
          <w:color w:val="4F81BD" w:themeColor="accent1"/>
        </w:rPr>
        <w:t>s</w:t>
      </w:r>
      <w:r w:rsidRPr="00AF41F2">
        <w:rPr>
          <w:rFonts w:eastAsia="Times New Roman"/>
          <w:color w:val="4F81BD" w:themeColor="accent1"/>
        </w:rPr>
        <w:t xml:space="preserve"> </w:t>
      </w:r>
      <w:r w:rsidRPr="00CB0586">
        <w:rPr>
          <w:color w:val="4F81BD" w:themeColor="accent1"/>
        </w:rPr>
        <w:t xml:space="preserve">dans l’annexe 1 disponible via ce lien : </w:t>
      </w:r>
      <w:hyperlink r:id="rId15" w:history="1">
        <w:r w:rsidR="00FD1ED6" w:rsidRPr="003E14AF">
          <w:rPr>
            <w:rStyle w:val="Lienhypertexte"/>
          </w:rPr>
          <w:t>https://economie.wallonie.be/sites/default/files/Annexe%201%20v_2021.pdf</w:t>
        </w:r>
      </w:hyperlink>
      <w:r w:rsidR="00FD1ED6">
        <w:rPr>
          <w:color w:val="4F81BD" w:themeColor="accent1"/>
        </w:rPr>
        <w:t xml:space="preserve"> </w:t>
      </w:r>
      <w:r w:rsidRPr="00CB0586">
        <w:rPr>
          <w:color w:val="4F81BD" w:themeColor="accent1"/>
        </w:rPr>
        <w:t>.</w:t>
      </w:r>
      <w:r w:rsidR="00302859">
        <w:rPr>
          <w:color w:val="4F81BD" w:themeColor="accent1"/>
        </w:rPr>
        <w:t xml:space="preserve"> </w:t>
      </w:r>
      <w:r w:rsidR="00AA412D" w:rsidRPr="00EA7A17">
        <w:rPr>
          <w:rFonts w:eastAsia="Times New Roman"/>
          <w:color w:val="4F81BD" w:themeColor="accent1"/>
        </w:rPr>
        <w:t xml:space="preserve">Le bénéficiaire peut prendre en charge des frais de </w:t>
      </w:r>
      <w:r w:rsidR="00BC4101" w:rsidRPr="00EA7A17">
        <w:rPr>
          <w:rFonts w:eastAsia="Times New Roman"/>
          <w:color w:val="4F81BD" w:themeColor="accent1"/>
        </w:rPr>
        <w:t>mission d’</w:t>
      </w:r>
      <w:r w:rsidR="00FD1ED6" w:rsidRPr="00EA7A17">
        <w:rPr>
          <w:rFonts w:eastAsia="Times New Roman"/>
          <w:color w:val="4F81BD" w:themeColor="accent1"/>
        </w:rPr>
        <w:t xml:space="preserve">autres </w:t>
      </w:r>
      <w:r w:rsidR="00BC4101" w:rsidRPr="00EA7A17">
        <w:rPr>
          <w:rFonts w:eastAsia="Times New Roman"/>
          <w:color w:val="4F81BD" w:themeColor="accent1"/>
        </w:rPr>
        <w:t>acteurs du consortium</w:t>
      </w:r>
      <w:r w:rsidR="004735A5" w:rsidRPr="00EA7A17">
        <w:rPr>
          <w:rFonts w:eastAsia="Times New Roman"/>
          <w:color w:val="4F81BD" w:themeColor="accent1"/>
        </w:rPr>
        <w:t>.</w:t>
      </w:r>
      <w:r w:rsidR="004735A5" w:rsidRPr="00D96EEF">
        <w:rPr>
          <w:rFonts w:eastAsia="Times New Roman"/>
          <w:color w:val="4F81BD" w:themeColor="accent1"/>
        </w:rPr>
        <w:t xml:space="preserve"> </w:t>
      </w:r>
    </w:p>
    <w:p w14:paraId="1CD51FC5" w14:textId="3BF702F7" w:rsidR="00EF7F0D" w:rsidRPr="008268F2" w:rsidRDefault="00EF7F0D" w:rsidP="00B777FE">
      <w:pPr>
        <w:pStyle w:val="Paragraphedeliste"/>
        <w:spacing w:after="240" w:line="240" w:lineRule="auto"/>
        <w:ind w:left="426"/>
        <w:contextualSpacing w:val="0"/>
        <w:jc w:val="both"/>
        <w:rPr>
          <w:rFonts w:eastAsia="Times New Roman"/>
          <w:color w:val="4F81BD" w:themeColor="accent1"/>
        </w:rPr>
      </w:pPr>
      <w:r>
        <w:rPr>
          <w:rFonts w:eastAsia="Times New Roman"/>
          <w:color w:val="4F81BD" w:themeColor="accent1"/>
        </w:rPr>
        <w:t xml:space="preserve">Concernant les frais de mission, le budget PRW ne pourra pas se substituer </w:t>
      </w:r>
      <w:r w:rsidR="00C04F70">
        <w:rPr>
          <w:rFonts w:eastAsia="Times New Roman"/>
          <w:color w:val="4F81BD" w:themeColor="accent1"/>
        </w:rPr>
        <w:t>aux financements possibles via l’AWEX / WBI.</w:t>
      </w:r>
      <w:r w:rsidR="004263C8">
        <w:rPr>
          <w:rFonts w:eastAsia="Times New Roman"/>
          <w:color w:val="4F81BD" w:themeColor="accent1"/>
        </w:rPr>
        <w:t xml:space="preserve"> Il sera également vérifié qu’il n’y a pas de risque de double subventionnement.</w:t>
      </w:r>
    </w:p>
    <w:p w14:paraId="45C05466" w14:textId="77777777" w:rsidR="003C6E98" w:rsidRPr="00C93DF5" w:rsidRDefault="003C6E98" w:rsidP="003C6E98">
      <w:pPr>
        <w:pStyle w:val="Paragraphedeliste"/>
        <w:numPr>
          <w:ilvl w:val="0"/>
          <w:numId w:val="6"/>
        </w:numPr>
        <w:jc w:val="both"/>
      </w:pPr>
      <w:r w:rsidRPr="00C93DF5">
        <w:t>Les frais de sous-traitance de rédaction de projets européens sont éligibles. Jusqu’à quel pourcentage de l'enveloppe peut-on sous-traiter afin de pouvoir positionner une entreprise dans un projet européen ?</w:t>
      </w:r>
    </w:p>
    <w:p w14:paraId="51321CA4" w14:textId="286E2543" w:rsidR="00EE043D" w:rsidRDefault="003C6E98" w:rsidP="003C6E98">
      <w:pPr>
        <w:tabs>
          <w:tab w:val="num" w:pos="426"/>
        </w:tabs>
        <w:spacing w:before="100" w:beforeAutospacing="1" w:after="240" w:line="240" w:lineRule="auto"/>
        <w:ind w:left="425"/>
        <w:jc w:val="both"/>
        <w:rPr>
          <w:color w:val="4F81BD" w:themeColor="accent1"/>
        </w:rPr>
      </w:pPr>
      <w:r w:rsidRPr="00C93DF5">
        <w:rPr>
          <w:color w:val="4F81BD" w:themeColor="accent1"/>
        </w:rPr>
        <w:t>L’appel prévoit un n budget maximal de 350.000 € consacré aux activités liées à la stratégie internationale de l’IIS, dont au moins 50% à la rédaction de projets européens.</w:t>
      </w:r>
      <w:r>
        <w:rPr>
          <w:color w:val="4F81BD" w:themeColor="accent1"/>
        </w:rPr>
        <w:t xml:space="preserve"> </w:t>
      </w:r>
      <w:r w:rsidRPr="00C93DF5">
        <w:rPr>
          <w:color w:val="4F81BD" w:themeColor="accent1"/>
        </w:rPr>
        <w:t xml:space="preserve">Il n’y a pas de plafonnement prévu pour cette partie en termes de pourcentage. </w:t>
      </w:r>
      <w:r w:rsidR="00B60D3B">
        <w:rPr>
          <w:color w:val="4F81BD" w:themeColor="accent1"/>
        </w:rPr>
        <w:t>Par ailleurs, il y a lieu de respecter les balises</w:t>
      </w:r>
      <w:r w:rsidR="00EE043D">
        <w:rPr>
          <w:color w:val="4F81BD" w:themeColor="accent1"/>
        </w:rPr>
        <w:t xml:space="preserve"> liées :</w:t>
      </w:r>
    </w:p>
    <w:p w14:paraId="7E72991A" w14:textId="14D76B86" w:rsidR="003C6E98" w:rsidRDefault="003C6E98" w:rsidP="00EE043D">
      <w:pPr>
        <w:pStyle w:val="Paragraphedeliste"/>
        <w:numPr>
          <w:ilvl w:val="0"/>
          <w:numId w:val="14"/>
        </w:numPr>
        <w:tabs>
          <w:tab w:val="num" w:pos="426"/>
        </w:tabs>
        <w:spacing w:before="100" w:beforeAutospacing="1" w:after="240" w:line="240" w:lineRule="auto"/>
        <w:jc w:val="both"/>
        <w:rPr>
          <w:color w:val="4F81BD" w:themeColor="accent1"/>
        </w:rPr>
      </w:pPr>
      <w:proofErr w:type="gramStart"/>
      <w:r w:rsidRPr="00EE043D">
        <w:rPr>
          <w:color w:val="4F81BD" w:themeColor="accent1"/>
        </w:rPr>
        <w:t>au</w:t>
      </w:r>
      <w:proofErr w:type="gramEnd"/>
      <w:r w:rsidRPr="00EE043D">
        <w:rPr>
          <w:color w:val="4F81BD" w:themeColor="accent1"/>
        </w:rPr>
        <w:t xml:space="preserve"> plafonnement des taux journaliers</w:t>
      </w:r>
      <w:r w:rsidR="00EE043D">
        <w:rPr>
          <w:color w:val="4F81BD" w:themeColor="accent1"/>
        </w:rPr>
        <w:t xml:space="preserve"> pour la sous-traitance (cf</w:t>
      </w:r>
      <w:r w:rsidR="00265960">
        <w:rPr>
          <w:color w:val="4F81BD" w:themeColor="accent1"/>
        </w:rPr>
        <w:t>.</w:t>
      </w:r>
      <w:r w:rsidR="00EE043D">
        <w:rPr>
          <w:color w:val="4F81BD" w:themeColor="accent1"/>
        </w:rPr>
        <w:t xml:space="preserve"> question plus haut)</w:t>
      </w:r>
      <w:r w:rsidRPr="00EE043D">
        <w:rPr>
          <w:color w:val="4F81BD" w:themeColor="accent1"/>
        </w:rPr>
        <w:t xml:space="preserve">. </w:t>
      </w:r>
    </w:p>
    <w:p w14:paraId="0594ED6E" w14:textId="5299BC7E" w:rsidR="00B30209" w:rsidRPr="00EE043D" w:rsidRDefault="00310F58" w:rsidP="00EE043D">
      <w:pPr>
        <w:pStyle w:val="Paragraphedeliste"/>
        <w:numPr>
          <w:ilvl w:val="0"/>
          <w:numId w:val="14"/>
        </w:numPr>
        <w:tabs>
          <w:tab w:val="num" w:pos="426"/>
        </w:tabs>
        <w:spacing w:before="100" w:beforeAutospacing="1" w:after="240" w:line="240" w:lineRule="auto"/>
        <w:jc w:val="both"/>
        <w:rPr>
          <w:color w:val="4F81BD" w:themeColor="accent1"/>
        </w:rPr>
      </w:pPr>
      <w:proofErr w:type="gramStart"/>
      <w:r>
        <w:rPr>
          <w:color w:val="4F81BD" w:themeColor="accent1"/>
        </w:rPr>
        <w:t>au</w:t>
      </w:r>
      <w:proofErr w:type="gramEnd"/>
      <w:r>
        <w:rPr>
          <w:color w:val="4F81BD" w:themeColor="accent1"/>
        </w:rPr>
        <w:t xml:space="preserve"> respect des règles en matière d’aides d’Etat, en particulier pour les services prestés en faveur des entreprises, encadrés par la règlementation de minimis (cf. point 6 de l’appel)</w:t>
      </w:r>
    </w:p>
    <w:p w14:paraId="47F92BF6" w14:textId="2824A973" w:rsidR="0056177A" w:rsidRPr="00C93DF5" w:rsidRDefault="0056177A" w:rsidP="003C6E98">
      <w:pPr>
        <w:tabs>
          <w:tab w:val="num" w:pos="426"/>
        </w:tabs>
        <w:spacing w:before="100" w:beforeAutospacing="1" w:after="240" w:line="240" w:lineRule="auto"/>
        <w:ind w:left="425"/>
        <w:jc w:val="both"/>
        <w:rPr>
          <w:color w:val="4F81BD" w:themeColor="accent1"/>
        </w:rPr>
      </w:pPr>
      <w:r>
        <w:rPr>
          <w:color w:val="4F81BD" w:themeColor="accent1"/>
        </w:rPr>
        <w:t xml:space="preserve">L’objectif du budget est </w:t>
      </w:r>
      <w:r w:rsidR="00F452F9">
        <w:rPr>
          <w:color w:val="4F81BD" w:themeColor="accent1"/>
        </w:rPr>
        <w:t xml:space="preserve">de pouvoir proposer un service de rédaction de projets à l’ensemble de l’IIS, et non de </w:t>
      </w:r>
      <w:r w:rsidR="00B60D3B">
        <w:rPr>
          <w:color w:val="4F81BD" w:themeColor="accent1"/>
        </w:rPr>
        <w:t>concentrer les m</w:t>
      </w:r>
      <w:r w:rsidR="00EE043D">
        <w:rPr>
          <w:color w:val="4F81BD" w:themeColor="accent1"/>
        </w:rPr>
        <w:t>o</w:t>
      </w:r>
      <w:r w:rsidR="00B60D3B">
        <w:rPr>
          <w:color w:val="4F81BD" w:themeColor="accent1"/>
        </w:rPr>
        <w:t>yens sur un projet spécifique.</w:t>
      </w:r>
    </w:p>
    <w:p w14:paraId="345893C9" w14:textId="7EA18551" w:rsidR="00687EF3" w:rsidRPr="00687EF3" w:rsidRDefault="00082511" w:rsidP="00082511">
      <w:pPr>
        <w:pStyle w:val="Paragraphedeliste"/>
        <w:numPr>
          <w:ilvl w:val="0"/>
          <w:numId w:val="6"/>
        </w:numPr>
        <w:jc w:val="both"/>
      </w:pPr>
      <w:r>
        <w:t>U</w:t>
      </w:r>
      <w:r w:rsidR="00687EF3" w:rsidRPr="00687EF3">
        <w:t>ne entreprise peut</w:t>
      </w:r>
      <w:r>
        <w:t>-elle être bénéficiaire de l’appel ? Si oui</w:t>
      </w:r>
      <w:r w:rsidR="00FE4490">
        <w:t>,</w:t>
      </w:r>
      <w:r w:rsidR="00312DAE">
        <w:t xml:space="preserve"> doit-elle se situer en Wallonie ?</w:t>
      </w:r>
    </w:p>
    <w:p w14:paraId="67BA4CEE" w14:textId="41C087CB" w:rsidR="0044332F" w:rsidRPr="008A4725" w:rsidRDefault="00312DAE" w:rsidP="001A5EBF">
      <w:pPr>
        <w:tabs>
          <w:tab w:val="num" w:pos="426"/>
        </w:tabs>
        <w:spacing w:before="100" w:beforeAutospacing="1" w:after="240" w:line="240" w:lineRule="auto"/>
        <w:ind w:left="425"/>
        <w:jc w:val="both"/>
        <w:rPr>
          <w:color w:val="4F81BD" w:themeColor="accent1"/>
        </w:rPr>
      </w:pPr>
      <w:r w:rsidRPr="008A4725">
        <w:rPr>
          <w:color w:val="4F81BD" w:themeColor="accent1"/>
        </w:rPr>
        <w:t>Oui, une entreprise peut être bénéficiaire</w:t>
      </w:r>
      <w:r w:rsidR="001E47B4" w:rsidRPr="008A4725">
        <w:rPr>
          <w:color w:val="4F81BD" w:themeColor="accent1"/>
        </w:rPr>
        <w:t xml:space="preserve"> de la subvention. Elle doit avoir un siège d’exploitation en Wallonie. </w:t>
      </w:r>
      <w:proofErr w:type="gramStart"/>
      <w:r w:rsidR="00330FB6" w:rsidRPr="008A4725">
        <w:rPr>
          <w:color w:val="4F81BD" w:themeColor="accent1"/>
        </w:rPr>
        <w:t>Par contre</w:t>
      </w:r>
      <w:proofErr w:type="gramEnd"/>
      <w:r w:rsidR="00330FB6" w:rsidRPr="008A4725">
        <w:rPr>
          <w:color w:val="4F81BD" w:themeColor="accent1"/>
        </w:rPr>
        <w:t>, si le bénéficiaire fait appel à de la sous-traitance, les sous-traitants peuvent être localisés hors Wallonie.</w:t>
      </w:r>
    </w:p>
    <w:p w14:paraId="3D733086" w14:textId="6B256F6B" w:rsidR="00D722FA" w:rsidRPr="008A4725" w:rsidRDefault="001051F4" w:rsidP="001051F4">
      <w:pPr>
        <w:pStyle w:val="Paragraphedeliste"/>
        <w:numPr>
          <w:ilvl w:val="0"/>
          <w:numId w:val="6"/>
        </w:numPr>
        <w:jc w:val="both"/>
      </w:pPr>
      <w:r w:rsidRPr="008A4725">
        <w:t xml:space="preserve">Qu’entend-on exactement </w:t>
      </w:r>
      <w:r w:rsidR="00EB3DA9" w:rsidRPr="008A4725">
        <w:t xml:space="preserve">par </w:t>
      </w:r>
      <w:r w:rsidR="00821312" w:rsidRPr="008A4725">
        <w:t>frais de sous-traitance</w:t>
      </w:r>
      <w:r w:rsidR="00EB3DA9" w:rsidRPr="008A4725">
        <w:t> ? S’agit-il de faire appel à des partenaires externes</w:t>
      </w:r>
      <w:r w:rsidR="00D722FA" w:rsidRPr="008A4725">
        <w:t xml:space="preserve"> à ceux de l’IIS</w:t>
      </w:r>
      <w:r w:rsidR="00223EA3" w:rsidRPr="008A4725">
        <w:t> ?</w:t>
      </w:r>
      <w:r w:rsidR="00821312" w:rsidRPr="008A4725">
        <w:t xml:space="preserve"> </w:t>
      </w:r>
    </w:p>
    <w:p w14:paraId="310DA3DA" w14:textId="77777777" w:rsidR="00223EA3" w:rsidRPr="008A4725" w:rsidRDefault="00D722FA" w:rsidP="002E5CFD">
      <w:pPr>
        <w:tabs>
          <w:tab w:val="num" w:pos="426"/>
        </w:tabs>
        <w:spacing w:before="100" w:beforeAutospacing="1" w:after="240" w:line="240" w:lineRule="auto"/>
        <w:ind w:left="425"/>
        <w:jc w:val="both"/>
        <w:rPr>
          <w:color w:val="4F81BD" w:themeColor="accent1"/>
        </w:rPr>
      </w:pPr>
      <w:r w:rsidRPr="008A4725">
        <w:rPr>
          <w:color w:val="4F81BD" w:themeColor="accent1"/>
        </w:rPr>
        <w:t>La sous-traitance porte sur l’externalisation de certaines prestations en faisant appel au mar</w:t>
      </w:r>
      <w:r w:rsidR="002C6071" w:rsidRPr="008A4725">
        <w:rPr>
          <w:color w:val="4F81BD" w:themeColor="accent1"/>
        </w:rPr>
        <w:t xml:space="preserve">ché. Les prestations sont réalisées par </w:t>
      </w:r>
      <w:r w:rsidR="00D82397" w:rsidRPr="008A4725">
        <w:rPr>
          <w:color w:val="4F81BD" w:themeColor="accent1"/>
        </w:rPr>
        <w:t xml:space="preserve">un prestataire externe (p.ex. une société de consultance) pour le compte du bénéficiaire représentant l’IIS. Celui-ci peut être partenaire de l’IIS ou non. </w:t>
      </w:r>
    </w:p>
    <w:p w14:paraId="5DEF4050" w14:textId="475C79C2" w:rsidR="002E5CFD" w:rsidRPr="008A4725" w:rsidRDefault="00D82397" w:rsidP="00506DB9">
      <w:pPr>
        <w:tabs>
          <w:tab w:val="num" w:pos="426"/>
        </w:tabs>
        <w:spacing w:before="100" w:beforeAutospacing="1" w:after="240" w:line="240" w:lineRule="auto"/>
        <w:ind w:left="425"/>
        <w:jc w:val="both"/>
        <w:rPr>
          <w:color w:val="4F81BD" w:themeColor="accent1"/>
        </w:rPr>
      </w:pPr>
      <w:r w:rsidRPr="008A4725">
        <w:rPr>
          <w:color w:val="4F81BD" w:themeColor="accent1"/>
        </w:rPr>
        <w:t xml:space="preserve">Il y a lieu de se référer à l’annexe 1 </w:t>
      </w:r>
      <w:r w:rsidR="00223EA3" w:rsidRPr="008A4725">
        <w:rPr>
          <w:color w:val="4F81BD" w:themeColor="accent1"/>
        </w:rPr>
        <w:t>(</w:t>
      </w:r>
      <w:r w:rsidR="00506DB9" w:rsidRPr="008A4725">
        <w:rPr>
          <w:color w:val="4F81BD" w:themeColor="accent1"/>
        </w:rPr>
        <w:t xml:space="preserve">consultable via le lien : </w:t>
      </w:r>
      <w:hyperlink r:id="rId16" w:history="1">
        <w:r w:rsidR="005077EE" w:rsidRPr="008A4725">
          <w:rPr>
            <w:rStyle w:val="Lienhypertexte"/>
          </w:rPr>
          <w:t>https://economie.wallonie.be/sites/default/files/Annexe%201%20v_2021.pdf</w:t>
        </w:r>
      </w:hyperlink>
      <w:r w:rsidR="00223EA3" w:rsidRPr="008A4725">
        <w:rPr>
          <w:color w:val="4F81BD" w:themeColor="accent1"/>
        </w:rPr>
        <w:t xml:space="preserve"> ) </w:t>
      </w:r>
      <w:r w:rsidRPr="008A4725">
        <w:rPr>
          <w:color w:val="4F81BD" w:themeColor="accent1"/>
        </w:rPr>
        <w:t>pour les règles applicables en matière de marchés publics, si le bénéficiaire</w:t>
      </w:r>
      <w:r w:rsidR="002E5CFD" w:rsidRPr="008A4725">
        <w:rPr>
          <w:color w:val="4F81BD" w:themeColor="accent1"/>
        </w:rPr>
        <w:t xml:space="preserve"> est soumis à la législation y relative. </w:t>
      </w:r>
    </w:p>
    <w:p w14:paraId="6075F89D" w14:textId="24FDD58A" w:rsidR="00330FB6" w:rsidRPr="008A4725" w:rsidRDefault="005077EE" w:rsidP="005077EE">
      <w:pPr>
        <w:pStyle w:val="Paragraphedeliste"/>
        <w:numPr>
          <w:ilvl w:val="0"/>
          <w:numId w:val="6"/>
        </w:numPr>
        <w:jc w:val="both"/>
      </w:pPr>
      <w:r w:rsidRPr="008A4725">
        <w:t>La fonction de référent international doit-elle être remplie par une seule personne pour l’ensemble de l’IIS ou peut-il s’agir de plusieurs personnes en utilisant des time-</w:t>
      </w:r>
      <w:proofErr w:type="spellStart"/>
      <w:r w:rsidRPr="008A4725">
        <w:t>sheets</w:t>
      </w:r>
      <w:proofErr w:type="spellEnd"/>
      <w:r w:rsidRPr="008A4725">
        <w:t xml:space="preserve"> pour justifier des ressources utilisées</w:t>
      </w:r>
      <w:r w:rsidR="001A5EBF" w:rsidRPr="008A4725">
        <w:t> ?</w:t>
      </w:r>
    </w:p>
    <w:p w14:paraId="04F027D8" w14:textId="0B08BCC3" w:rsidR="001A5EBF" w:rsidRPr="008A4725" w:rsidRDefault="00491C0B" w:rsidP="00B6368A">
      <w:pPr>
        <w:tabs>
          <w:tab w:val="num" w:pos="426"/>
        </w:tabs>
        <w:spacing w:before="100" w:beforeAutospacing="1" w:after="240" w:line="240" w:lineRule="auto"/>
        <w:ind w:left="425"/>
        <w:jc w:val="both"/>
        <w:rPr>
          <w:color w:val="4F81BD" w:themeColor="accent1"/>
        </w:rPr>
      </w:pPr>
      <w:r w:rsidRPr="008A4725">
        <w:rPr>
          <w:color w:val="4F81BD" w:themeColor="accent1"/>
        </w:rPr>
        <w:t>Il revient à l’IIS de proposer le mode d’organisation qui lui semble le plus efficace</w:t>
      </w:r>
      <w:r w:rsidR="00B6368A" w:rsidRPr="008A4725">
        <w:rPr>
          <w:color w:val="4F81BD" w:themeColor="accent1"/>
        </w:rPr>
        <w:t xml:space="preserve">. Il n’est pas interdit de répartir la fonction sur plusieurs personnes. Néanmoins, nous rappelons que </w:t>
      </w:r>
      <w:r w:rsidR="00680C82" w:rsidRPr="008A4725">
        <w:rPr>
          <w:color w:val="4F81BD" w:themeColor="accent1"/>
        </w:rPr>
        <w:lastRenderedPageBreak/>
        <w:t>l’objectif de ce bloc de travail est de développer une approche commune à l’IIS et un service pour les différents partenaires</w:t>
      </w:r>
      <w:r w:rsidR="00DA6A16" w:rsidRPr="008A4725">
        <w:rPr>
          <w:color w:val="4F81BD" w:themeColor="accent1"/>
        </w:rPr>
        <w:t xml:space="preserve">. </w:t>
      </w:r>
      <w:r w:rsidR="003C20B1" w:rsidRPr="008A4725">
        <w:rPr>
          <w:color w:val="4F81BD" w:themeColor="accent1"/>
        </w:rPr>
        <w:t>La pertinence de l’approche proposée sera évaluée.</w:t>
      </w:r>
      <w:r w:rsidR="00680C82" w:rsidRPr="008A4725">
        <w:rPr>
          <w:color w:val="4F81BD" w:themeColor="accent1"/>
        </w:rPr>
        <w:t xml:space="preserve"> </w:t>
      </w:r>
    </w:p>
    <w:p w14:paraId="1A763D0F" w14:textId="27B3CE1E" w:rsidR="00475DD0" w:rsidRPr="008A4725" w:rsidRDefault="00475DD0" w:rsidP="00475DD0">
      <w:pPr>
        <w:pStyle w:val="Paragraphedeliste"/>
        <w:numPr>
          <w:ilvl w:val="0"/>
          <w:numId w:val="6"/>
        </w:numPr>
        <w:jc w:val="both"/>
      </w:pPr>
      <w:r w:rsidRPr="008A4725">
        <w:t xml:space="preserve">Le document ne spécifie pas le taux de financement par type de structure. Est-ce que les </w:t>
      </w:r>
      <w:proofErr w:type="spellStart"/>
      <w:r w:rsidRPr="008A4725">
        <w:t>CRa</w:t>
      </w:r>
      <w:proofErr w:type="spellEnd"/>
      <w:r w:rsidRPr="008A4725">
        <w:t xml:space="preserve"> peuvent bien être financés à 100% ?</w:t>
      </w:r>
    </w:p>
    <w:p w14:paraId="567DC658" w14:textId="24DB7CE2" w:rsidR="00475DD0" w:rsidRPr="008A4725" w:rsidRDefault="00475DD0" w:rsidP="00B6368A">
      <w:pPr>
        <w:tabs>
          <w:tab w:val="num" w:pos="426"/>
        </w:tabs>
        <w:spacing w:before="100" w:beforeAutospacing="1" w:after="240" w:line="240" w:lineRule="auto"/>
        <w:ind w:left="425"/>
        <w:jc w:val="both"/>
        <w:rPr>
          <w:color w:val="4F81BD" w:themeColor="accent1"/>
        </w:rPr>
      </w:pPr>
      <w:r w:rsidRPr="008A4725">
        <w:rPr>
          <w:color w:val="4F81BD" w:themeColor="accent1"/>
        </w:rPr>
        <w:t>Les conditions de financement sont identiques quelle que soit la structure qui</w:t>
      </w:r>
      <w:r w:rsidR="007E7F05" w:rsidRPr="008A4725">
        <w:rPr>
          <w:color w:val="4F81BD" w:themeColor="accent1"/>
        </w:rPr>
        <w:t xml:space="preserve"> soumet l</w:t>
      </w:r>
      <w:r w:rsidR="00665BEA" w:rsidRPr="008A4725">
        <w:rPr>
          <w:color w:val="4F81BD" w:themeColor="accent1"/>
        </w:rPr>
        <w:t>a</w:t>
      </w:r>
      <w:r w:rsidR="007E7F05" w:rsidRPr="008A4725">
        <w:rPr>
          <w:color w:val="4F81BD" w:themeColor="accent1"/>
        </w:rPr>
        <w:t xml:space="preserve"> demande </w:t>
      </w:r>
      <w:r w:rsidR="00E50AC1" w:rsidRPr="008A4725">
        <w:rPr>
          <w:color w:val="4F81BD" w:themeColor="accent1"/>
        </w:rPr>
        <w:t>de financement.</w:t>
      </w:r>
    </w:p>
    <w:p w14:paraId="70D03487" w14:textId="20A5844C" w:rsidR="00E50AC1" w:rsidRPr="008A4725" w:rsidRDefault="00E50AC1" w:rsidP="00665BEA">
      <w:pPr>
        <w:pStyle w:val="Paragraphedeliste"/>
        <w:numPr>
          <w:ilvl w:val="0"/>
          <w:numId w:val="6"/>
        </w:numPr>
        <w:jc w:val="both"/>
      </w:pPr>
      <w:r w:rsidRPr="008A4725">
        <w:t xml:space="preserve">Le formulaire de soumission prévoit un document synthétique (10 pages A4 </w:t>
      </w:r>
      <w:proofErr w:type="gramStart"/>
      <w:r w:rsidRPr="008A4725">
        <w:t>maximum;</w:t>
      </w:r>
      <w:proofErr w:type="gramEnd"/>
      <w:r w:rsidRPr="008A4725">
        <w:t xml:space="preserve"> Texte en Arial 10, interligne simple). Le formulaire vierge fait déjà 13 pages. P</w:t>
      </w:r>
      <w:r w:rsidR="007908C9" w:rsidRPr="008A4725">
        <w:t>ouvez-vous cla</w:t>
      </w:r>
      <w:r w:rsidR="00DA3E91" w:rsidRPr="008A4725">
        <w:t xml:space="preserve">rifier ? </w:t>
      </w:r>
    </w:p>
    <w:p w14:paraId="747BF584" w14:textId="70BBC731" w:rsidR="00665BEA" w:rsidRPr="008A4725" w:rsidRDefault="006A7116" w:rsidP="00DA3E91">
      <w:pPr>
        <w:tabs>
          <w:tab w:val="num" w:pos="426"/>
        </w:tabs>
        <w:spacing w:before="100" w:beforeAutospacing="1" w:after="240" w:line="240" w:lineRule="auto"/>
        <w:ind w:left="425"/>
        <w:jc w:val="both"/>
        <w:rPr>
          <w:color w:val="4F81BD" w:themeColor="accent1"/>
        </w:rPr>
      </w:pPr>
      <w:r w:rsidRPr="008A4725">
        <w:rPr>
          <w:color w:val="4F81BD" w:themeColor="accent1"/>
        </w:rPr>
        <w:t>L’indication de 10 page</w:t>
      </w:r>
      <w:r w:rsidR="006125F3" w:rsidRPr="008A4725">
        <w:rPr>
          <w:color w:val="4F81BD" w:themeColor="accent1"/>
        </w:rPr>
        <w:t xml:space="preserve">s est en effet incorrecte. Pour chaque section, le nombre de pages attendu est </w:t>
      </w:r>
      <w:r w:rsidR="00220504" w:rsidRPr="008A4725">
        <w:rPr>
          <w:color w:val="4F81BD" w:themeColor="accent1"/>
        </w:rPr>
        <w:t xml:space="preserve">mentionné (il est donné à titre indicatif). </w:t>
      </w:r>
      <w:r w:rsidR="00EA3853" w:rsidRPr="008A4725">
        <w:rPr>
          <w:color w:val="4F81BD" w:themeColor="accent1"/>
        </w:rPr>
        <w:t>L</w:t>
      </w:r>
      <w:r w:rsidR="00BD2379" w:rsidRPr="008A4725">
        <w:rPr>
          <w:color w:val="4F81BD" w:themeColor="accent1"/>
        </w:rPr>
        <w:t>e programme de travail est à détailler dans les tableaux à la section 2.3.1</w:t>
      </w:r>
      <w:r w:rsidR="004A5749" w:rsidRPr="008A4725">
        <w:rPr>
          <w:color w:val="4F81BD" w:themeColor="accent1"/>
        </w:rPr>
        <w:t xml:space="preserve"> pour laquelle nous n’av</w:t>
      </w:r>
      <w:r w:rsidR="009B37EB" w:rsidRPr="008A4725">
        <w:rPr>
          <w:color w:val="4F81BD" w:themeColor="accent1"/>
        </w:rPr>
        <w:t>ons pas donné d’indication en nombre de pages car elle dépendra d</w:t>
      </w:r>
      <w:r w:rsidR="009311B4" w:rsidRPr="008A4725">
        <w:rPr>
          <w:color w:val="4F81BD" w:themeColor="accent1"/>
        </w:rPr>
        <w:t>u nombre d’activités sélectionnées. La consigne est d’être synthétique</w:t>
      </w:r>
      <w:r w:rsidR="00205B84" w:rsidRPr="008A4725">
        <w:rPr>
          <w:color w:val="4F81BD" w:themeColor="accent1"/>
        </w:rPr>
        <w:t xml:space="preserve"> mais explicite</w:t>
      </w:r>
      <w:r w:rsidR="00FA5A1E" w:rsidRPr="008A4725">
        <w:rPr>
          <w:color w:val="4F81BD" w:themeColor="accent1"/>
        </w:rPr>
        <w:t xml:space="preserve"> afin de faciliter l’évaluation du projet</w:t>
      </w:r>
      <w:r w:rsidR="009311B4" w:rsidRPr="008A4725">
        <w:rPr>
          <w:color w:val="4F81BD" w:themeColor="accent1"/>
        </w:rPr>
        <w:t>.</w:t>
      </w:r>
    </w:p>
    <w:p w14:paraId="1630A8AE" w14:textId="38074C30" w:rsidR="00665BEA" w:rsidRPr="008A4725" w:rsidRDefault="00665BEA" w:rsidP="00665BEA">
      <w:pPr>
        <w:pStyle w:val="Paragraphedeliste"/>
        <w:numPr>
          <w:ilvl w:val="0"/>
          <w:numId w:val="6"/>
        </w:numPr>
        <w:jc w:val="both"/>
      </w:pPr>
      <w:r w:rsidRPr="008A4725">
        <w:t>Y aura-t-il une sélection parmi les propositions des IIS ? S’agit-il d’un appel concurrentiel ?</w:t>
      </w:r>
    </w:p>
    <w:p w14:paraId="6697CE67" w14:textId="5D2A8080" w:rsidR="00665BEA" w:rsidRPr="008A4725" w:rsidRDefault="0077071A" w:rsidP="00A225AA">
      <w:pPr>
        <w:tabs>
          <w:tab w:val="num" w:pos="426"/>
        </w:tabs>
        <w:spacing w:before="100" w:beforeAutospacing="1" w:after="240" w:line="240" w:lineRule="auto"/>
        <w:ind w:left="425"/>
        <w:jc w:val="both"/>
        <w:rPr>
          <w:color w:val="4F81BD" w:themeColor="accent1"/>
        </w:rPr>
      </w:pPr>
      <w:r w:rsidRPr="008A4725">
        <w:rPr>
          <w:color w:val="4F81BD" w:themeColor="accent1"/>
        </w:rPr>
        <w:t>Il ne s’agit pas d’une mise en concurrence entre les IIS</w:t>
      </w:r>
      <w:r w:rsidR="00B32010" w:rsidRPr="008A4725">
        <w:rPr>
          <w:color w:val="4F81BD" w:themeColor="accent1"/>
        </w:rPr>
        <w:t xml:space="preserve">. L’appel vise à permettre à chaque IIS de développer </w:t>
      </w:r>
      <w:r w:rsidR="00DD647F" w:rsidRPr="008A4725">
        <w:rPr>
          <w:color w:val="4F81BD" w:themeColor="accent1"/>
        </w:rPr>
        <w:t>une approche propre, dans le cadre posé par l’appel</w:t>
      </w:r>
      <w:r w:rsidRPr="008A4725">
        <w:rPr>
          <w:color w:val="4F81BD" w:themeColor="accent1"/>
        </w:rPr>
        <w:t>. L’objectif d</w:t>
      </w:r>
      <w:r w:rsidR="00CC3197" w:rsidRPr="008A4725">
        <w:rPr>
          <w:color w:val="4F81BD" w:themeColor="accent1"/>
        </w:rPr>
        <w:t>e la procédure d’évaluation des projets est de s’assurer qu’ils sont conformes</w:t>
      </w:r>
      <w:r w:rsidR="00A225AA" w:rsidRPr="008A4725">
        <w:rPr>
          <w:color w:val="4F81BD" w:themeColor="accent1"/>
        </w:rPr>
        <w:t xml:space="preserve"> aux conditions de l’appel</w:t>
      </w:r>
      <w:r w:rsidR="00EF3BED" w:rsidRPr="008A4725">
        <w:rPr>
          <w:color w:val="4F81BD" w:themeColor="accent1"/>
        </w:rPr>
        <w:t xml:space="preserve"> et permettent de répondre de la manière la plus efficace aux objectifs.</w:t>
      </w:r>
    </w:p>
    <w:p w14:paraId="2332D9DF" w14:textId="5D2A8080" w:rsidR="00E50AC1" w:rsidRPr="008A4725" w:rsidRDefault="002B7DF2" w:rsidP="009221E6">
      <w:pPr>
        <w:pStyle w:val="Paragraphedeliste"/>
        <w:numPr>
          <w:ilvl w:val="0"/>
          <w:numId w:val="6"/>
        </w:numPr>
        <w:jc w:val="both"/>
      </w:pPr>
      <w:r w:rsidRPr="008A4725">
        <w:t>Es</w:t>
      </w:r>
      <w:r w:rsidR="009221E6" w:rsidRPr="008A4725">
        <w:t>t-il obligatoire d’apporter une part de financement propre ?</w:t>
      </w:r>
    </w:p>
    <w:p w14:paraId="40942334" w14:textId="54528DE7" w:rsidR="009221E6" w:rsidRDefault="009221E6" w:rsidP="009221E6">
      <w:pPr>
        <w:tabs>
          <w:tab w:val="num" w:pos="426"/>
        </w:tabs>
        <w:spacing w:before="100" w:beforeAutospacing="1" w:after="240" w:line="240" w:lineRule="auto"/>
        <w:ind w:left="425"/>
        <w:jc w:val="both"/>
        <w:rPr>
          <w:color w:val="4F81BD" w:themeColor="accent1"/>
        </w:rPr>
      </w:pPr>
      <w:r w:rsidRPr="008A4725">
        <w:rPr>
          <w:color w:val="4F81BD" w:themeColor="accent1"/>
        </w:rPr>
        <w:t>Non, le taux de financement peut aller jusque 100%</w:t>
      </w:r>
      <w:r w:rsidR="00645B68" w:rsidRPr="008A4725">
        <w:rPr>
          <w:color w:val="4F81BD" w:themeColor="accent1"/>
        </w:rPr>
        <w:t xml:space="preserve">. Le bénéficiaire peut toutefois renseigner </w:t>
      </w:r>
      <w:r w:rsidR="000C1B99" w:rsidRPr="008A4725">
        <w:rPr>
          <w:color w:val="4F81BD" w:themeColor="accent1"/>
        </w:rPr>
        <w:t>dans le tableau financier</w:t>
      </w:r>
      <w:r w:rsidR="00C6505F" w:rsidRPr="008A4725">
        <w:rPr>
          <w:color w:val="4F81BD" w:themeColor="accent1"/>
        </w:rPr>
        <w:t xml:space="preserve"> l</w:t>
      </w:r>
      <w:r w:rsidR="00D5149E" w:rsidRPr="008A4725">
        <w:rPr>
          <w:color w:val="4F81BD" w:themeColor="accent1"/>
        </w:rPr>
        <w:t xml:space="preserve">es fonds propres </w:t>
      </w:r>
      <w:r w:rsidR="003400D2" w:rsidRPr="008A4725">
        <w:rPr>
          <w:color w:val="4F81BD" w:themeColor="accent1"/>
        </w:rPr>
        <w:t>qu’il mobilise</w:t>
      </w:r>
      <w:r w:rsidR="00D5149E" w:rsidRPr="008A4725">
        <w:rPr>
          <w:color w:val="4F81BD" w:themeColor="accent1"/>
        </w:rPr>
        <w:t xml:space="preserve"> (p.ex. pour couvrir des activités non couvertes par le subside régional</w:t>
      </w:r>
      <w:r w:rsidR="00BE17DE" w:rsidRPr="008A4725">
        <w:rPr>
          <w:color w:val="4F81BD" w:themeColor="accent1"/>
        </w:rPr>
        <w:t xml:space="preserve">, ou pour </w:t>
      </w:r>
      <w:r w:rsidR="000E41F3" w:rsidRPr="008A4725">
        <w:rPr>
          <w:color w:val="4F81BD" w:themeColor="accent1"/>
        </w:rPr>
        <w:t xml:space="preserve">renseigner les financements </w:t>
      </w:r>
      <w:r w:rsidR="00F61092" w:rsidRPr="008A4725">
        <w:rPr>
          <w:color w:val="4F81BD" w:themeColor="accent1"/>
        </w:rPr>
        <w:t xml:space="preserve">et ressources </w:t>
      </w:r>
      <w:r w:rsidR="004619AB" w:rsidRPr="008A4725">
        <w:rPr>
          <w:color w:val="4F81BD" w:themeColor="accent1"/>
        </w:rPr>
        <w:t>humaines</w:t>
      </w:r>
      <w:r w:rsidR="00FD7254" w:rsidRPr="008A4725">
        <w:rPr>
          <w:color w:val="4F81BD" w:themeColor="accent1"/>
        </w:rPr>
        <w:t xml:space="preserve"> mobilisés</w:t>
      </w:r>
      <w:r w:rsidR="000E41F3" w:rsidRPr="008A4725">
        <w:rPr>
          <w:color w:val="4F81BD" w:themeColor="accent1"/>
        </w:rPr>
        <w:t xml:space="preserve"> en soutien à la gouvernance de l’IIS</w:t>
      </w:r>
      <w:r w:rsidR="00523267" w:rsidRPr="008A4725">
        <w:rPr>
          <w:color w:val="4F81BD" w:themeColor="accent1"/>
        </w:rPr>
        <w:t xml:space="preserve">). </w:t>
      </w:r>
      <w:r w:rsidR="009A245C" w:rsidRPr="008A4725">
        <w:rPr>
          <w:color w:val="4F81BD" w:themeColor="accent1"/>
        </w:rPr>
        <w:t>C’est un élément qui sera pris en compte dans l’évaluation</w:t>
      </w:r>
      <w:r w:rsidR="0096317B" w:rsidRPr="008A4725">
        <w:rPr>
          <w:color w:val="4F81BD" w:themeColor="accent1"/>
        </w:rPr>
        <w:t xml:space="preserve"> de la proposition</w:t>
      </w:r>
      <w:r w:rsidR="009A245C" w:rsidRPr="008A4725">
        <w:rPr>
          <w:color w:val="4F81BD" w:themeColor="accent1"/>
        </w:rPr>
        <w:t>.</w:t>
      </w:r>
    </w:p>
    <w:p w14:paraId="34780C2B" w14:textId="77777777" w:rsidR="001C62AD" w:rsidRDefault="001C62AD" w:rsidP="001C62AD">
      <w:pPr>
        <w:pStyle w:val="elementtoproof"/>
        <w:numPr>
          <w:ilvl w:val="0"/>
          <w:numId w:val="6"/>
        </w:numPr>
        <w:rPr>
          <w:rFonts w:eastAsia="Times New Roman"/>
          <w:color w:val="000000"/>
        </w:rPr>
      </w:pPr>
      <w:r>
        <w:rPr>
          <w:rFonts w:eastAsia="Times New Roman"/>
          <w:color w:val="000000"/>
        </w:rPr>
        <w:t xml:space="preserve">Pouvez-vous clarifier pour quelles tâches liées au Pilier 1 Gestion de l'IIS et rédaction de projets européens s'appliqueront les taux plafonnés à 550 euros HTVA / jour et à 750 euros HTVA / </w:t>
      </w:r>
      <w:proofErr w:type="gramStart"/>
      <w:r>
        <w:rPr>
          <w:rFonts w:eastAsia="Times New Roman"/>
          <w:color w:val="000000"/>
        </w:rPr>
        <w:t>jour?</w:t>
      </w:r>
      <w:proofErr w:type="gramEnd"/>
      <w:r>
        <w:rPr>
          <w:rFonts w:eastAsia="Times New Roman"/>
          <w:color w:val="000000"/>
        </w:rPr>
        <w:t xml:space="preserve"> </w:t>
      </w:r>
      <w:r>
        <w:rPr>
          <w:rFonts w:eastAsia="Times New Roman"/>
        </w:rPr>
        <w:t> </w:t>
      </w:r>
    </w:p>
    <w:p w14:paraId="7C779A6B" w14:textId="77777777" w:rsidR="001C62AD" w:rsidRDefault="001C62AD" w:rsidP="001C62AD">
      <w:pPr>
        <w:pStyle w:val="elementtoproof"/>
        <w:rPr>
          <w:color w:val="4472C4"/>
        </w:rPr>
      </w:pPr>
      <w:r>
        <w:rPr>
          <w:color w:val="4472C4"/>
        </w:rPr>
        <w:t xml:space="preserve">Ces taux s’appliquent uniquement en cas de recours à la sous-traitance. Les conditions applicables détaillées dans l’annexe 1 disponible via ce lien : </w:t>
      </w:r>
      <w:hyperlink r:id="rId17" w:history="1">
        <w:r>
          <w:rPr>
            <w:rStyle w:val="Lienhypertexte"/>
          </w:rPr>
          <w:t>https://economie.wallonie.be/sites/default/files/Annexe%201%20v_2021.pdf</w:t>
        </w:r>
      </w:hyperlink>
      <w:r>
        <w:rPr>
          <w:color w:val="4472C4"/>
        </w:rPr>
        <w:t xml:space="preserve"> amènent à distinguer les activités récurrentes et spécifiques (exceptionnelles). Les activités du bloc 1 et 2 sont réputées de nature récurrentes, certaines du bloc 3 pourraient être spécifiques si elles sont dûment justifiées dans les termes identifiés dans l’annexe1.</w:t>
      </w:r>
    </w:p>
    <w:p w14:paraId="136C020B" w14:textId="77777777" w:rsidR="001C62AD" w:rsidRDefault="001C62AD" w:rsidP="001C62AD">
      <w:pPr>
        <w:pStyle w:val="elementtoproof"/>
        <w:numPr>
          <w:ilvl w:val="0"/>
          <w:numId w:val="6"/>
        </w:numPr>
        <w:rPr>
          <w:rFonts w:eastAsia="Times New Roman"/>
          <w:color w:val="4472C4"/>
        </w:rPr>
      </w:pPr>
      <w:r>
        <w:rPr>
          <w:rFonts w:eastAsia="Times New Roman"/>
        </w:rPr>
        <w:t>En cas de recours à la sous-</w:t>
      </w:r>
      <w:r>
        <w:rPr>
          <w:rFonts w:eastAsia="Times New Roman"/>
          <w:color w:val="000000"/>
        </w:rPr>
        <w:t>traitance, doit</w:t>
      </w:r>
      <w:r>
        <w:rPr>
          <w:rFonts w:eastAsia="Times New Roman"/>
        </w:rPr>
        <w:t>-</w:t>
      </w:r>
      <w:r>
        <w:rPr>
          <w:rFonts w:eastAsia="Times New Roman"/>
          <w:color w:val="000000"/>
        </w:rPr>
        <w:t xml:space="preserve">on prévoir de passer des marchés </w:t>
      </w:r>
      <w:proofErr w:type="gramStart"/>
      <w:r>
        <w:rPr>
          <w:rFonts w:eastAsia="Times New Roman"/>
          <w:color w:val="000000"/>
        </w:rPr>
        <w:t>publics?</w:t>
      </w:r>
      <w:proofErr w:type="gramEnd"/>
      <w:r>
        <w:rPr>
          <w:rFonts w:eastAsia="Times New Roman"/>
          <w:color w:val="000000"/>
        </w:rPr>
        <w:t> </w:t>
      </w:r>
      <w:r>
        <w:rPr>
          <w:rFonts w:eastAsia="Times New Roman"/>
        </w:rPr>
        <w:t>Pour la prévision budgétaire</w:t>
      </w:r>
      <w:r>
        <w:rPr>
          <w:rFonts w:eastAsia="Times New Roman"/>
          <w:color w:val="000000"/>
        </w:rPr>
        <w:t>, il n'est pas forcément possible de déterminer</w:t>
      </w:r>
      <w:r>
        <w:rPr>
          <w:rStyle w:val="apple-converted-space"/>
          <w:rFonts w:eastAsia="Times New Roman"/>
          <w:color w:val="000000"/>
        </w:rPr>
        <w:t> </w:t>
      </w:r>
      <w:r>
        <w:rPr>
          <w:rFonts w:eastAsia="Times New Roman"/>
          <w:i/>
          <w:iCs/>
          <w:color w:val="000000"/>
        </w:rPr>
        <w:t>ex ante</w:t>
      </w:r>
      <w:r>
        <w:rPr>
          <w:rStyle w:val="apple-converted-space"/>
          <w:rFonts w:eastAsia="Times New Roman"/>
          <w:i/>
          <w:iCs/>
          <w:color w:val="000000"/>
        </w:rPr>
        <w:t> </w:t>
      </w:r>
      <w:r>
        <w:rPr>
          <w:rFonts w:eastAsia="Times New Roman"/>
          <w:color w:val="000000"/>
        </w:rPr>
        <w:t>le montant qui sera utilisé pour quel sous</w:t>
      </w:r>
      <w:r>
        <w:rPr>
          <w:rFonts w:eastAsia="Times New Roman"/>
        </w:rPr>
        <w:t>-</w:t>
      </w:r>
      <w:r>
        <w:rPr>
          <w:rFonts w:eastAsia="Times New Roman"/>
          <w:color w:val="000000"/>
        </w:rPr>
        <w:t xml:space="preserve">traitant, notamment au niveau de la rédaction de réponses à des </w:t>
      </w:r>
      <w:r>
        <w:rPr>
          <w:rFonts w:eastAsia="Times New Roman"/>
        </w:rPr>
        <w:t xml:space="preserve">AAP </w:t>
      </w:r>
      <w:r>
        <w:rPr>
          <w:rFonts w:eastAsia="Times New Roman"/>
          <w:color w:val="000000"/>
        </w:rPr>
        <w:t xml:space="preserve">européens. </w:t>
      </w:r>
    </w:p>
    <w:p w14:paraId="31972D8C" w14:textId="77777777" w:rsidR="001C62AD" w:rsidRDefault="001C62AD" w:rsidP="001C62AD">
      <w:pPr>
        <w:pStyle w:val="elementtoproof"/>
        <w:ind w:left="720"/>
        <w:rPr>
          <w:color w:val="4472C4"/>
        </w:rPr>
      </w:pPr>
      <w:r>
        <w:rPr>
          <w:color w:val="558ED5"/>
        </w:rPr>
        <w:t xml:space="preserve">L’application de la législation relative aux marchés publics </w:t>
      </w:r>
      <w:r>
        <w:rPr>
          <w:color w:val="4472C4"/>
        </w:rPr>
        <w:t xml:space="preserve">dépend du statut du bénéficiaire de la subvention, et du fait qu’il est ou non assimilé à un pouvoir adjudicateur (cf. </w:t>
      </w:r>
      <w:r>
        <w:rPr>
          <w:color w:val="4472C4"/>
        </w:rPr>
        <w:lastRenderedPageBreak/>
        <w:t xml:space="preserve">notamment la Loi du 17 juin 2016, articles 17 et 18). Il n’y a pas de règles imposées au-delà du cadre légal. </w:t>
      </w:r>
      <w:r>
        <w:br/>
      </w:r>
      <w:r>
        <w:rPr>
          <w:color w:val="4472C4"/>
        </w:rPr>
        <w:t xml:space="preserve">C’est au bénéficiaire de </w:t>
      </w:r>
      <w:r>
        <w:rPr>
          <w:color w:val="558ED5"/>
        </w:rPr>
        <w:t>proposer</w:t>
      </w:r>
      <w:r>
        <w:rPr>
          <w:color w:val="4472C4"/>
        </w:rPr>
        <w:t xml:space="preserve"> dans sa soumission une estimation budgétaire du montant qui sera sous-traité, l’arrêté du GW définira un niveau de souplesse. Pour plus de détail, il est possible de consulter l’annexe </w:t>
      </w:r>
      <w:proofErr w:type="gramStart"/>
      <w:r>
        <w:rPr>
          <w:color w:val="4472C4"/>
        </w:rPr>
        <w:t>1  disponible</w:t>
      </w:r>
      <w:proofErr w:type="gramEnd"/>
      <w:r>
        <w:rPr>
          <w:color w:val="4472C4"/>
        </w:rPr>
        <w:t xml:space="preserve"> via ce lien : </w:t>
      </w:r>
      <w:hyperlink r:id="rId18" w:history="1">
        <w:r>
          <w:rPr>
            <w:rStyle w:val="Lienhypertexte"/>
            <w:color w:val="4472C4"/>
          </w:rPr>
          <w:t>https://economie.wallonie.be/sites/default/files/Annexe%201%20v_2021.pdf</w:t>
        </w:r>
      </w:hyperlink>
      <w:r>
        <w:rPr>
          <w:color w:val="4472C4"/>
        </w:rPr>
        <w:t xml:space="preserve">. </w:t>
      </w:r>
    </w:p>
    <w:p w14:paraId="0FBB2DA0" w14:textId="77777777" w:rsidR="001C62AD" w:rsidRPr="001C62AD" w:rsidRDefault="001C62AD" w:rsidP="001C62AD">
      <w:pPr>
        <w:pStyle w:val="Paragraphedeliste"/>
        <w:numPr>
          <w:ilvl w:val="0"/>
          <w:numId w:val="6"/>
        </w:numPr>
        <w:spacing w:after="0" w:line="240" w:lineRule="auto"/>
        <w:rPr>
          <w:rStyle w:val="ui-provider"/>
          <w:rFonts w:eastAsia="Times New Roman"/>
        </w:rPr>
      </w:pPr>
      <w:r w:rsidRPr="001C62AD">
        <w:rPr>
          <w:rStyle w:val="ui-provider"/>
          <w:rFonts w:eastAsia="Times New Roman"/>
        </w:rPr>
        <w:t xml:space="preserve">Comment considérer les dépenses éligibles si un ETP est engagé chez le soumissionnaire mais effectue ses prestations en partie chez un autre membre de l’IIS ? </w:t>
      </w:r>
    </w:p>
    <w:p w14:paraId="1AD21DD5" w14:textId="77777777" w:rsidR="001C62AD" w:rsidRDefault="001C62AD" w:rsidP="001C62AD">
      <w:pPr>
        <w:rPr>
          <w:rStyle w:val="ui-provider"/>
        </w:rPr>
      </w:pPr>
      <w:r>
        <w:rPr>
          <w:rStyle w:val="ui-provider"/>
          <w:color w:val="4472C4"/>
        </w:rPr>
        <w:t xml:space="preserve"> L’ETP est seulement hébergé chez le chef de file, mais il est au service de l’IIS entière. C’est à l’IIS de choisir le soumissionnaire et le bénéficiaire unique, ensuite le temps passé chez les différents membres pour réaliser les tâches de coordination ressort de la responsabilité du bénéficiaire en transparence et bonne intelligence avec la gouvernance de l’IIS. </w:t>
      </w:r>
    </w:p>
    <w:p w14:paraId="09CF2B88" w14:textId="77777777" w:rsidR="001C62AD" w:rsidRDefault="001C62AD" w:rsidP="001C62AD">
      <w:pPr>
        <w:rPr>
          <w:rStyle w:val="ui-provider"/>
        </w:rPr>
      </w:pPr>
    </w:p>
    <w:p w14:paraId="6BC5A7E4" w14:textId="77777777" w:rsidR="001C62AD" w:rsidRPr="001C62AD" w:rsidRDefault="001C62AD" w:rsidP="001C62AD">
      <w:pPr>
        <w:pStyle w:val="Paragraphedeliste"/>
        <w:numPr>
          <w:ilvl w:val="0"/>
          <w:numId w:val="6"/>
        </w:numPr>
        <w:spacing w:after="0" w:line="240" w:lineRule="auto"/>
        <w:rPr>
          <w:rStyle w:val="ui-provider"/>
          <w:rFonts w:eastAsia="Times New Roman"/>
          <w:color w:val="4472C4"/>
        </w:rPr>
      </w:pPr>
      <w:r w:rsidRPr="001C62AD">
        <w:rPr>
          <w:rStyle w:val="ui-provider"/>
          <w:rFonts w:eastAsia="Times New Roman"/>
        </w:rPr>
        <w:t>Sera-t-il possible de reporter un budget non consommé sur l'année suivante ?</w:t>
      </w:r>
      <w:r w:rsidRPr="001C62AD">
        <w:rPr>
          <w:rStyle w:val="ui-provider"/>
          <w:rFonts w:eastAsia="Times New Roman"/>
          <w:color w:val="4472C4"/>
        </w:rPr>
        <w:t xml:space="preserve"> </w:t>
      </w:r>
    </w:p>
    <w:p w14:paraId="18C6CB78" w14:textId="77777777" w:rsidR="001C62AD" w:rsidRDefault="001C62AD" w:rsidP="001C62AD">
      <w:pPr>
        <w:rPr>
          <w:rStyle w:val="ui-provider"/>
          <w:color w:val="4472C4"/>
        </w:rPr>
      </w:pPr>
    </w:p>
    <w:p w14:paraId="1D7874F7" w14:textId="77777777" w:rsidR="001C62AD" w:rsidRDefault="001C62AD" w:rsidP="001C62AD">
      <w:pPr>
        <w:rPr>
          <w:rStyle w:val="ui-provider"/>
          <w:color w:val="4472C4"/>
        </w:rPr>
      </w:pPr>
      <w:r>
        <w:rPr>
          <w:rStyle w:val="ui-provider"/>
          <w:color w:val="558ED5"/>
        </w:rPr>
        <w:t xml:space="preserve">S’agissant d’un budget </w:t>
      </w:r>
      <w:r>
        <w:rPr>
          <w:rStyle w:val="ui-provider"/>
          <w:color w:val="4472C4"/>
        </w:rPr>
        <w:t>PRW, les possibilités de reports seront très limitées.</w:t>
      </w:r>
    </w:p>
    <w:p w14:paraId="312BEE50" w14:textId="77777777" w:rsidR="001C62AD" w:rsidRDefault="001C62AD" w:rsidP="001C62AD">
      <w:pPr>
        <w:rPr>
          <w:rStyle w:val="ui-provider"/>
          <w:color w:val="4472C4"/>
        </w:rPr>
      </w:pPr>
    </w:p>
    <w:p w14:paraId="7D6250F2" w14:textId="77777777" w:rsidR="001C62AD" w:rsidRDefault="001C62AD" w:rsidP="001C62AD">
      <w:pPr>
        <w:pStyle w:val="Paragraphedeliste"/>
        <w:numPr>
          <w:ilvl w:val="0"/>
          <w:numId w:val="6"/>
        </w:numPr>
        <w:spacing w:after="0" w:line="240" w:lineRule="auto"/>
        <w:contextualSpacing w:val="0"/>
        <w:rPr>
          <w:rStyle w:val="ui-provider"/>
          <w:rFonts w:eastAsia="Times New Roman"/>
        </w:rPr>
      </w:pPr>
      <w:r>
        <w:rPr>
          <w:rStyle w:val="ui-provider"/>
          <w:rFonts w:eastAsia="Times New Roman"/>
        </w:rPr>
        <w:t>Sera-t-il possible de glisser un budget d'une rubrique à l'autre si en cours de route la consommation prévue évolue ?</w:t>
      </w:r>
    </w:p>
    <w:p w14:paraId="3FC8449B" w14:textId="77777777" w:rsidR="001C62AD" w:rsidRDefault="001C62AD" w:rsidP="001C62AD">
      <w:pPr>
        <w:rPr>
          <w:rStyle w:val="ui-provider"/>
          <w:color w:val="4472C4"/>
        </w:rPr>
      </w:pPr>
    </w:p>
    <w:p w14:paraId="00FCCF58" w14:textId="77777777" w:rsidR="001C62AD" w:rsidRDefault="001C62AD" w:rsidP="001C62AD">
      <w:r>
        <w:rPr>
          <w:rStyle w:val="ui-provider"/>
          <w:color w:val="4472C4"/>
        </w:rPr>
        <w:t>Oui, selon des modalités et limites qui seront définies par l’arrêté ministériel</w:t>
      </w:r>
      <w:r>
        <w:rPr>
          <w:rStyle w:val="ui-provider"/>
        </w:rPr>
        <w:t xml:space="preserve">. </w:t>
      </w:r>
    </w:p>
    <w:p w14:paraId="7DAB1F0F" w14:textId="77777777" w:rsidR="001C62AD" w:rsidRDefault="001C62AD" w:rsidP="001C62AD"/>
    <w:p w14:paraId="28D37637" w14:textId="77777777" w:rsidR="001C62AD" w:rsidRPr="001C62AD" w:rsidRDefault="001C62AD" w:rsidP="001C62AD">
      <w:pPr>
        <w:pStyle w:val="Paragraphedeliste"/>
        <w:numPr>
          <w:ilvl w:val="0"/>
          <w:numId w:val="6"/>
        </w:numPr>
        <w:spacing w:after="0" w:line="240" w:lineRule="auto"/>
        <w:rPr>
          <w:rFonts w:eastAsia="Times New Roman"/>
        </w:rPr>
      </w:pPr>
      <w:r w:rsidRPr="001C62AD">
        <w:rPr>
          <w:rFonts w:eastAsia="Times New Roman"/>
        </w:rPr>
        <w:t xml:space="preserve">Y a-t-il des limitations aux budgets affectables à la sous-traitance ? </w:t>
      </w:r>
    </w:p>
    <w:p w14:paraId="536AF36C" w14:textId="77777777" w:rsidR="001C62AD" w:rsidRDefault="001C62AD" w:rsidP="001C62AD"/>
    <w:p w14:paraId="49094F19" w14:textId="77777777" w:rsidR="001C62AD" w:rsidRDefault="001C62AD" w:rsidP="001C62AD">
      <w:pPr>
        <w:rPr>
          <w:color w:val="4472C4"/>
        </w:rPr>
      </w:pPr>
      <w:r>
        <w:rPr>
          <w:color w:val="558ED5"/>
        </w:rPr>
        <w:t>Non, mais l’analyse du dossier portera notamment sur la ventilation budgétaire proposée et sur la cohérence de la proposition à cet égard.  </w:t>
      </w:r>
    </w:p>
    <w:p w14:paraId="7E1AC3EF" w14:textId="77777777" w:rsidR="001C62AD" w:rsidRPr="001C62AD" w:rsidRDefault="001C62AD" w:rsidP="001C62AD">
      <w:pPr>
        <w:pStyle w:val="Paragraphedeliste"/>
        <w:tabs>
          <w:tab w:val="num" w:pos="426"/>
        </w:tabs>
        <w:spacing w:before="100" w:beforeAutospacing="1" w:after="240" w:line="240" w:lineRule="auto"/>
        <w:ind w:left="360"/>
        <w:jc w:val="both"/>
        <w:rPr>
          <w:color w:val="4F81BD" w:themeColor="accent1"/>
        </w:rPr>
      </w:pPr>
    </w:p>
    <w:sectPr w:rsidR="001C62AD" w:rsidRPr="001C62AD" w:rsidSect="00543C6F">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39D7" w14:textId="77777777" w:rsidR="009B2996" w:rsidRDefault="009B2996" w:rsidP="006E5239">
      <w:pPr>
        <w:spacing w:after="0" w:line="240" w:lineRule="auto"/>
      </w:pPr>
      <w:r>
        <w:separator/>
      </w:r>
    </w:p>
  </w:endnote>
  <w:endnote w:type="continuationSeparator" w:id="0">
    <w:p w14:paraId="62A0E76D" w14:textId="77777777" w:rsidR="009B2996" w:rsidRDefault="009B2996" w:rsidP="006E5239">
      <w:pPr>
        <w:spacing w:after="0" w:line="240" w:lineRule="auto"/>
      </w:pPr>
      <w:r>
        <w:continuationSeparator/>
      </w:r>
    </w:p>
  </w:endnote>
  <w:endnote w:type="continuationNotice" w:id="1">
    <w:p w14:paraId="5ED28DFA" w14:textId="77777777" w:rsidR="009B2996" w:rsidRDefault="009B2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960895"/>
      <w:docPartObj>
        <w:docPartGallery w:val="Page Numbers (Bottom of Page)"/>
        <w:docPartUnique/>
      </w:docPartObj>
    </w:sdtPr>
    <w:sdtContent>
      <w:p w14:paraId="77A12104" w14:textId="64B65652" w:rsidR="008664E5" w:rsidRDefault="008664E5">
        <w:pPr>
          <w:pStyle w:val="Pieddepage"/>
          <w:jc w:val="right"/>
        </w:pPr>
        <w:r>
          <w:fldChar w:fldCharType="begin"/>
        </w:r>
        <w:r>
          <w:instrText>PAGE   \* MERGEFORMAT</w:instrText>
        </w:r>
        <w:r>
          <w:fldChar w:fldCharType="separate"/>
        </w:r>
        <w:r>
          <w:rPr>
            <w:lang w:val="fr-FR"/>
          </w:rPr>
          <w:t>2</w:t>
        </w:r>
        <w:r>
          <w:fldChar w:fldCharType="end"/>
        </w:r>
      </w:p>
    </w:sdtContent>
  </w:sdt>
  <w:p w14:paraId="0C054637" w14:textId="77777777" w:rsidR="00E878C7" w:rsidRDefault="00E878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65CA" w14:textId="77777777" w:rsidR="009B2996" w:rsidRDefault="009B2996" w:rsidP="006E5239">
      <w:pPr>
        <w:spacing w:after="0" w:line="240" w:lineRule="auto"/>
      </w:pPr>
      <w:r>
        <w:separator/>
      </w:r>
    </w:p>
  </w:footnote>
  <w:footnote w:type="continuationSeparator" w:id="0">
    <w:p w14:paraId="0CC18AD9" w14:textId="77777777" w:rsidR="009B2996" w:rsidRDefault="009B2996" w:rsidP="006E5239">
      <w:pPr>
        <w:spacing w:after="0" w:line="240" w:lineRule="auto"/>
      </w:pPr>
      <w:r>
        <w:continuationSeparator/>
      </w:r>
    </w:p>
  </w:footnote>
  <w:footnote w:type="continuationNotice" w:id="1">
    <w:p w14:paraId="0CF282C8" w14:textId="77777777" w:rsidR="009B2996" w:rsidRDefault="009B29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A9CC" w14:textId="4F09A21A" w:rsidR="006E5239" w:rsidRDefault="00FC73CA" w:rsidP="00F7237F">
    <w:pPr>
      <w:pStyle w:val="En-tte"/>
      <w:jc w:val="center"/>
    </w:pPr>
    <w:r w:rsidRPr="00552E45">
      <w:rPr>
        <w:rFonts w:ascii="Arial" w:hAnsi="Arial"/>
        <w:b/>
        <w:noProof/>
        <w:color w:val="000070"/>
        <w:sz w:val="16"/>
      </w:rPr>
      <w:drawing>
        <wp:anchor distT="0" distB="0" distL="114300" distR="114300" simplePos="0" relativeHeight="251658240" behindDoc="0" locked="0" layoutInCell="1" allowOverlap="1" wp14:anchorId="3BFAF32A" wp14:editId="0C296734">
          <wp:simplePos x="0" y="0"/>
          <wp:positionH relativeFrom="column">
            <wp:posOffset>5686425</wp:posOffset>
          </wp:positionH>
          <wp:positionV relativeFrom="paragraph">
            <wp:posOffset>-372110</wp:posOffset>
          </wp:positionV>
          <wp:extent cx="434340" cy="702945"/>
          <wp:effectExtent l="0" t="0" r="0" b="0"/>
          <wp:wrapSquare wrapText="bothSides"/>
          <wp:docPr id="2" name="Picture 2" descr="Une image contenant texte, graphiques vectoriels&#10;&#10;Description générée automatiquement">
            <a:extLst xmlns:a="http://schemas.openxmlformats.org/drawingml/2006/main">
              <a:ext uri="{FF2B5EF4-FFF2-40B4-BE49-F238E27FC236}">
                <a16:creationId xmlns:a16="http://schemas.microsoft.com/office/drawing/2014/main" id="{38875E20-C80F-4268-B452-2A13B5BB0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graphiques vectoriels&#10;&#10;Description générée automatiquement">
                    <a:extLst>
                      <a:ext uri="{FF2B5EF4-FFF2-40B4-BE49-F238E27FC236}">
                        <a16:creationId xmlns:a16="http://schemas.microsoft.com/office/drawing/2014/main" id="{38875E20-C80F-4268-B452-2A13B5BB064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4340" cy="702945"/>
                  </a:xfrm>
                  <a:prstGeom prst="rect">
                    <a:avLst/>
                  </a:prstGeom>
                </pic:spPr>
              </pic:pic>
            </a:graphicData>
          </a:graphic>
          <wp14:sizeRelH relativeFrom="margin">
            <wp14:pctWidth>0</wp14:pctWidth>
          </wp14:sizeRelH>
          <wp14:sizeRelV relativeFrom="margin">
            <wp14:pctHeight>0</wp14:pctHeight>
          </wp14:sizeRelV>
        </wp:anchor>
      </w:drawing>
    </w:r>
    <w:r w:rsidR="00F7237F" w:rsidRPr="00BB6BB9">
      <w:rPr>
        <w:rFonts w:ascii="Arial" w:hAnsi="Arial"/>
        <w:b/>
        <w:color w:val="000070"/>
        <w:sz w:val="16"/>
      </w:rPr>
      <w:t xml:space="preserve">SPW – </w:t>
    </w:r>
    <w:r w:rsidR="00F7237F">
      <w:rPr>
        <w:rFonts w:ascii="Arial" w:hAnsi="Arial"/>
        <w:b/>
        <w:color w:val="000070"/>
        <w:sz w:val="16"/>
      </w:rPr>
      <w:t>EER</w:t>
    </w:r>
    <w:r w:rsidR="00F7237F" w:rsidRPr="00BB6BB9">
      <w:rPr>
        <w:rFonts w:ascii="Arial" w:hAnsi="Arial"/>
        <w:b/>
        <w:color w:val="000070"/>
        <w:sz w:val="16"/>
      </w:rPr>
      <w:t>– Département de la Compétitivité et de l’Innovation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FB1"/>
    <w:multiLevelType w:val="multilevel"/>
    <w:tmpl w:val="A9E4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67246"/>
    <w:multiLevelType w:val="hybridMultilevel"/>
    <w:tmpl w:val="41F82B80"/>
    <w:lvl w:ilvl="0" w:tplc="67187C4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321A61"/>
    <w:multiLevelType w:val="hybridMultilevel"/>
    <w:tmpl w:val="E2CC3B54"/>
    <w:lvl w:ilvl="0" w:tplc="98CC64F0">
      <w:numFmt w:val="bullet"/>
      <w:lvlText w:val="-"/>
      <w:lvlJc w:val="left"/>
      <w:pPr>
        <w:ind w:left="785" w:hanging="360"/>
      </w:pPr>
      <w:rPr>
        <w:rFonts w:ascii="Calibri" w:eastAsiaTheme="minorHAnsi" w:hAnsi="Calibri" w:cs="Calibri"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3" w15:restartNumberingAfterBreak="0">
    <w:nsid w:val="367F5A25"/>
    <w:multiLevelType w:val="multilevel"/>
    <w:tmpl w:val="3078D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B13A3"/>
    <w:multiLevelType w:val="hybridMultilevel"/>
    <w:tmpl w:val="8E1AF4B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3E933B86"/>
    <w:multiLevelType w:val="multilevel"/>
    <w:tmpl w:val="E356FB14"/>
    <w:lvl w:ilvl="0">
      <w:start w:val="1"/>
      <w:numFmt w:val="bullet"/>
      <w:lvlText w:val=""/>
      <w:lvlJc w:val="left"/>
      <w:pPr>
        <w:tabs>
          <w:tab w:val="num" w:pos="720"/>
        </w:tabs>
        <w:ind w:left="720" w:hanging="360"/>
      </w:pPr>
      <w:rPr>
        <w:rFonts w:ascii="Wingdings 3" w:hAnsi="Wingdings 3" w:hint="default"/>
        <w:color w:val="4F81BD" w:themeColor="accent1"/>
        <w:sz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808E2"/>
    <w:multiLevelType w:val="multilevel"/>
    <w:tmpl w:val="ED80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3D72E9"/>
    <w:multiLevelType w:val="multilevel"/>
    <w:tmpl w:val="3548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711A9"/>
    <w:multiLevelType w:val="hybridMultilevel"/>
    <w:tmpl w:val="CC10274C"/>
    <w:lvl w:ilvl="0" w:tplc="019E562E">
      <w:start w:val="1"/>
      <w:numFmt w:val="bullet"/>
      <w:lvlText w:val=""/>
      <w:lvlJc w:val="left"/>
      <w:pPr>
        <w:ind w:left="360" w:hanging="360"/>
      </w:pPr>
      <w:rPr>
        <w:rFonts w:ascii="Wingdings 3" w:hAnsi="Wingdings 3" w:hint="default"/>
        <w:color w:val="4F81BD" w:themeColor="accent1"/>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8B7478D"/>
    <w:multiLevelType w:val="hybridMultilevel"/>
    <w:tmpl w:val="7760F922"/>
    <w:lvl w:ilvl="0" w:tplc="019E562E">
      <w:start w:val="1"/>
      <w:numFmt w:val="bullet"/>
      <w:lvlText w:val=""/>
      <w:lvlJc w:val="left"/>
      <w:pPr>
        <w:ind w:left="720" w:hanging="360"/>
      </w:pPr>
      <w:rPr>
        <w:rFonts w:ascii="Wingdings 3" w:hAnsi="Wingdings 3" w:hint="default"/>
        <w:color w:val="4F81BD" w:themeColor="accent1"/>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7C71725"/>
    <w:multiLevelType w:val="multilevel"/>
    <w:tmpl w:val="276C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814291"/>
    <w:multiLevelType w:val="multilevel"/>
    <w:tmpl w:val="FAA2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D77B18"/>
    <w:multiLevelType w:val="multilevel"/>
    <w:tmpl w:val="B38486E8"/>
    <w:lvl w:ilvl="0">
      <w:start w:val="1"/>
      <w:numFmt w:val="bullet"/>
      <w:lvlText w:val=""/>
      <w:lvlJc w:val="left"/>
      <w:pPr>
        <w:tabs>
          <w:tab w:val="num" w:pos="720"/>
        </w:tabs>
        <w:ind w:left="720" w:hanging="360"/>
      </w:pPr>
      <w:rPr>
        <w:rFonts w:ascii="Wingdings 3" w:hAnsi="Wingdings 3" w:hint="default"/>
        <w:color w:val="4F81BD" w:themeColor="accent1"/>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A06D8A"/>
    <w:multiLevelType w:val="multilevel"/>
    <w:tmpl w:val="0B80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2C4D95"/>
    <w:multiLevelType w:val="hybridMultilevel"/>
    <w:tmpl w:val="F872D4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B6644C4"/>
    <w:multiLevelType w:val="multilevel"/>
    <w:tmpl w:val="47A29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2688229">
    <w:abstractNumId w:val="1"/>
  </w:num>
  <w:num w:numId="2" w16cid:durableId="987369417">
    <w:abstractNumId w:val="12"/>
  </w:num>
  <w:num w:numId="3" w16cid:durableId="465583114">
    <w:abstractNumId w:val="14"/>
  </w:num>
  <w:num w:numId="4" w16cid:durableId="554967621">
    <w:abstractNumId w:val="15"/>
  </w:num>
  <w:num w:numId="5" w16cid:durableId="1054039531">
    <w:abstractNumId w:val="9"/>
  </w:num>
  <w:num w:numId="6" w16cid:durableId="456458421">
    <w:abstractNumId w:val="8"/>
  </w:num>
  <w:num w:numId="7" w16cid:durableId="422915094">
    <w:abstractNumId w:val="3"/>
  </w:num>
  <w:num w:numId="8" w16cid:durableId="864975999">
    <w:abstractNumId w:val="5"/>
  </w:num>
  <w:num w:numId="9" w16cid:durableId="147020554">
    <w:abstractNumId w:val="7"/>
  </w:num>
  <w:num w:numId="10" w16cid:durableId="2132822468">
    <w:abstractNumId w:val="11"/>
  </w:num>
  <w:num w:numId="11" w16cid:durableId="906690650">
    <w:abstractNumId w:val="13"/>
  </w:num>
  <w:num w:numId="12" w16cid:durableId="594096085">
    <w:abstractNumId w:val="10"/>
  </w:num>
  <w:num w:numId="13" w16cid:durableId="1087844089">
    <w:abstractNumId w:val="0"/>
  </w:num>
  <w:num w:numId="14" w16cid:durableId="710963355">
    <w:abstractNumId w:val="2"/>
  </w:num>
  <w:num w:numId="15" w16cid:durableId="1735811504">
    <w:abstractNumId w:val="6"/>
    <w:lvlOverride w:ilvl="0">
      <w:startOverride w:val="1"/>
    </w:lvlOverride>
  </w:num>
  <w:num w:numId="16" w16cid:durableId="479465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871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842BA6"/>
    <w:rsid w:val="00002D2C"/>
    <w:rsid w:val="00005814"/>
    <w:rsid w:val="00022E0A"/>
    <w:rsid w:val="00026FFE"/>
    <w:rsid w:val="00056E2C"/>
    <w:rsid w:val="00065D22"/>
    <w:rsid w:val="00066144"/>
    <w:rsid w:val="000732DA"/>
    <w:rsid w:val="00077FD4"/>
    <w:rsid w:val="00082007"/>
    <w:rsid w:val="00082511"/>
    <w:rsid w:val="000846AE"/>
    <w:rsid w:val="000A1B09"/>
    <w:rsid w:val="000A25E9"/>
    <w:rsid w:val="000C1B99"/>
    <w:rsid w:val="000D7956"/>
    <w:rsid w:val="000E2A17"/>
    <w:rsid w:val="000E41F3"/>
    <w:rsid w:val="000F4FEC"/>
    <w:rsid w:val="001038E2"/>
    <w:rsid w:val="001051F4"/>
    <w:rsid w:val="001115A7"/>
    <w:rsid w:val="001126DA"/>
    <w:rsid w:val="001260BA"/>
    <w:rsid w:val="001338F6"/>
    <w:rsid w:val="00167476"/>
    <w:rsid w:val="00172066"/>
    <w:rsid w:val="00174C14"/>
    <w:rsid w:val="00192628"/>
    <w:rsid w:val="001A5EBF"/>
    <w:rsid w:val="001B5298"/>
    <w:rsid w:val="001C01E7"/>
    <w:rsid w:val="001C62AD"/>
    <w:rsid w:val="001E2736"/>
    <w:rsid w:val="001E47B4"/>
    <w:rsid w:val="001F2B6D"/>
    <w:rsid w:val="0020587F"/>
    <w:rsid w:val="00205B84"/>
    <w:rsid w:val="00211560"/>
    <w:rsid w:val="00216435"/>
    <w:rsid w:val="00216F30"/>
    <w:rsid w:val="00220504"/>
    <w:rsid w:val="00223EA3"/>
    <w:rsid w:val="0024343D"/>
    <w:rsid w:val="00250042"/>
    <w:rsid w:val="0025613B"/>
    <w:rsid w:val="00265960"/>
    <w:rsid w:val="00266429"/>
    <w:rsid w:val="00267BE2"/>
    <w:rsid w:val="00272A59"/>
    <w:rsid w:val="002756E8"/>
    <w:rsid w:val="00286041"/>
    <w:rsid w:val="002B7DF2"/>
    <w:rsid w:val="002C0C81"/>
    <w:rsid w:val="002C58AF"/>
    <w:rsid w:val="002C6071"/>
    <w:rsid w:val="002C650D"/>
    <w:rsid w:val="002D61A1"/>
    <w:rsid w:val="002E5CFD"/>
    <w:rsid w:val="002E708F"/>
    <w:rsid w:val="002F7369"/>
    <w:rsid w:val="00302859"/>
    <w:rsid w:val="00307F07"/>
    <w:rsid w:val="00310F58"/>
    <w:rsid w:val="00312DAE"/>
    <w:rsid w:val="00314901"/>
    <w:rsid w:val="00330FB6"/>
    <w:rsid w:val="00336851"/>
    <w:rsid w:val="003400D2"/>
    <w:rsid w:val="00343239"/>
    <w:rsid w:val="00361F01"/>
    <w:rsid w:val="003639C6"/>
    <w:rsid w:val="00371B21"/>
    <w:rsid w:val="0037325B"/>
    <w:rsid w:val="003757FF"/>
    <w:rsid w:val="003807CA"/>
    <w:rsid w:val="003A1E4D"/>
    <w:rsid w:val="003C1B11"/>
    <w:rsid w:val="003C20B1"/>
    <w:rsid w:val="003C6E98"/>
    <w:rsid w:val="003E2597"/>
    <w:rsid w:val="004263C8"/>
    <w:rsid w:val="0044066B"/>
    <w:rsid w:val="0044332F"/>
    <w:rsid w:val="004619AB"/>
    <w:rsid w:val="00463535"/>
    <w:rsid w:val="004735A5"/>
    <w:rsid w:val="00475DD0"/>
    <w:rsid w:val="00491C0B"/>
    <w:rsid w:val="004A5749"/>
    <w:rsid w:val="004A7E04"/>
    <w:rsid w:val="004B4D18"/>
    <w:rsid w:val="004B644D"/>
    <w:rsid w:val="004C3E6C"/>
    <w:rsid w:val="004D0634"/>
    <w:rsid w:val="004E0B74"/>
    <w:rsid w:val="004F05C2"/>
    <w:rsid w:val="00505238"/>
    <w:rsid w:val="00506DB9"/>
    <w:rsid w:val="005077EE"/>
    <w:rsid w:val="005104E4"/>
    <w:rsid w:val="00523267"/>
    <w:rsid w:val="00524243"/>
    <w:rsid w:val="00536609"/>
    <w:rsid w:val="00540885"/>
    <w:rsid w:val="00543C6F"/>
    <w:rsid w:val="00555D80"/>
    <w:rsid w:val="0056177A"/>
    <w:rsid w:val="00563ADA"/>
    <w:rsid w:val="00572E3E"/>
    <w:rsid w:val="0057782E"/>
    <w:rsid w:val="00580422"/>
    <w:rsid w:val="005858D5"/>
    <w:rsid w:val="005A4976"/>
    <w:rsid w:val="005B4B65"/>
    <w:rsid w:val="00600EA8"/>
    <w:rsid w:val="006031C4"/>
    <w:rsid w:val="006125F3"/>
    <w:rsid w:val="00617B7A"/>
    <w:rsid w:val="00637CAF"/>
    <w:rsid w:val="00645B68"/>
    <w:rsid w:val="00647F1C"/>
    <w:rsid w:val="0066489E"/>
    <w:rsid w:val="00665BEA"/>
    <w:rsid w:val="0067519F"/>
    <w:rsid w:val="00680C82"/>
    <w:rsid w:val="0068173E"/>
    <w:rsid w:val="00687EF3"/>
    <w:rsid w:val="006A2442"/>
    <w:rsid w:val="006A6893"/>
    <w:rsid w:val="006A7116"/>
    <w:rsid w:val="006C05CD"/>
    <w:rsid w:val="006C5421"/>
    <w:rsid w:val="006E3314"/>
    <w:rsid w:val="006E5239"/>
    <w:rsid w:val="006F7C3C"/>
    <w:rsid w:val="007055D3"/>
    <w:rsid w:val="00723E6F"/>
    <w:rsid w:val="00745E3A"/>
    <w:rsid w:val="0076505B"/>
    <w:rsid w:val="00766687"/>
    <w:rsid w:val="00766B70"/>
    <w:rsid w:val="00766BFD"/>
    <w:rsid w:val="0077071A"/>
    <w:rsid w:val="00776C05"/>
    <w:rsid w:val="007821A4"/>
    <w:rsid w:val="007908C9"/>
    <w:rsid w:val="0079750C"/>
    <w:rsid w:val="007A4BFF"/>
    <w:rsid w:val="007A77AB"/>
    <w:rsid w:val="007E7F05"/>
    <w:rsid w:val="007F064B"/>
    <w:rsid w:val="007F3C7E"/>
    <w:rsid w:val="00804076"/>
    <w:rsid w:val="00820139"/>
    <w:rsid w:val="00821312"/>
    <w:rsid w:val="0082264D"/>
    <w:rsid w:val="008268F2"/>
    <w:rsid w:val="00831925"/>
    <w:rsid w:val="00840350"/>
    <w:rsid w:val="00842BA6"/>
    <w:rsid w:val="00846A39"/>
    <w:rsid w:val="00851FC0"/>
    <w:rsid w:val="00865160"/>
    <w:rsid w:val="008664E5"/>
    <w:rsid w:val="0087549F"/>
    <w:rsid w:val="00894596"/>
    <w:rsid w:val="00894C9A"/>
    <w:rsid w:val="00897FC0"/>
    <w:rsid w:val="008A4725"/>
    <w:rsid w:val="008B1C89"/>
    <w:rsid w:val="008B25DE"/>
    <w:rsid w:val="008C046A"/>
    <w:rsid w:val="008C1FCE"/>
    <w:rsid w:val="008E071A"/>
    <w:rsid w:val="008F2BC8"/>
    <w:rsid w:val="00921218"/>
    <w:rsid w:val="0092184F"/>
    <w:rsid w:val="009221E6"/>
    <w:rsid w:val="009311B4"/>
    <w:rsid w:val="00955045"/>
    <w:rsid w:val="0096317B"/>
    <w:rsid w:val="009771FF"/>
    <w:rsid w:val="009A245C"/>
    <w:rsid w:val="009B2996"/>
    <w:rsid w:val="009B37EB"/>
    <w:rsid w:val="009D1548"/>
    <w:rsid w:val="009D3FF7"/>
    <w:rsid w:val="009E1403"/>
    <w:rsid w:val="009E164B"/>
    <w:rsid w:val="00A00E0A"/>
    <w:rsid w:val="00A06BE0"/>
    <w:rsid w:val="00A225AA"/>
    <w:rsid w:val="00A25012"/>
    <w:rsid w:val="00A653EF"/>
    <w:rsid w:val="00A7789E"/>
    <w:rsid w:val="00AA412D"/>
    <w:rsid w:val="00AB0339"/>
    <w:rsid w:val="00AC2954"/>
    <w:rsid w:val="00AC6953"/>
    <w:rsid w:val="00AF2087"/>
    <w:rsid w:val="00AF41F2"/>
    <w:rsid w:val="00AF4F33"/>
    <w:rsid w:val="00AF75AC"/>
    <w:rsid w:val="00B009C5"/>
    <w:rsid w:val="00B04227"/>
    <w:rsid w:val="00B2407A"/>
    <w:rsid w:val="00B30209"/>
    <w:rsid w:val="00B32010"/>
    <w:rsid w:val="00B32E0A"/>
    <w:rsid w:val="00B53D7E"/>
    <w:rsid w:val="00B56F4B"/>
    <w:rsid w:val="00B60D3B"/>
    <w:rsid w:val="00B6368A"/>
    <w:rsid w:val="00B72E66"/>
    <w:rsid w:val="00B73255"/>
    <w:rsid w:val="00B777FE"/>
    <w:rsid w:val="00B875FE"/>
    <w:rsid w:val="00B91F07"/>
    <w:rsid w:val="00BA214C"/>
    <w:rsid w:val="00BA2246"/>
    <w:rsid w:val="00BB2ABE"/>
    <w:rsid w:val="00BC406A"/>
    <w:rsid w:val="00BC4101"/>
    <w:rsid w:val="00BD2379"/>
    <w:rsid w:val="00BE17DE"/>
    <w:rsid w:val="00BE2751"/>
    <w:rsid w:val="00BE6210"/>
    <w:rsid w:val="00BF466A"/>
    <w:rsid w:val="00BF56F0"/>
    <w:rsid w:val="00C04F70"/>
    <w:rsid w:val="00C45986"/>
    <w:rsid w:val="00C50F36"/>
    <w:rsid w:val="00C6505F"/>
    <w:rsid w:val="00C82AC4"/>
    <w:rsid w:val="00C911F7"/>
    <w:rsid w:val="00C94329"/>
    <w:rsid w:val="00CB0586"/>
    <w:rsid w:val="00CB5751"/>
    <w:rsid w:val="00CC3197"/>
    <w:rsid w:val="00CC3536"/>
    <w:rsid w:val="00CD7767"/>
    <w:rsid w:val="00D21F33"/>
    <w:rsid w:val="00D32D79"/>
    <w:rsid w:val="00D5149E"/>
    <w:rsid w:val="00D5450D"/>
    <w:rsid w:val="00D60931"/>
    <w:rsid w:val="00D722FA"/>
    <w:rsid w:val="00D75A7C"/>
    <w:rsid w:val="00D82397"/>
    <w:rsid w:val="00D87C42"/>
    <w:rsid w:val="00D96EEF"/>
    <w:rsid w:val="00DA3E91"/>
    <w:rsid w:val="00DA6A16"/>
    <w:rsid w:val="00DD1AEB"/>
    <w:rsid w:val="00DD647F"/>
    <w:rsid w:val="00DF046F"/>
    <w:rsid w:val="00DF0D29"/>
    <w:rsid w:val="00E05716"/>
    <w:rsid w:val="00E1076A"/>
    <w:rsid w:val="00E1186B"/>
    <w:rsid w:val="00E17EC6"/>
    <w:rsid w:val="00E42710"/>
    <w:rsid w:val="00E50AC1"/>
    <w:rsid w:val="00E64D30"/>
    <w:rsid w:val="00E66489"/>
    <w:rsid w:val="00E718F9"/>
    <w:rsid w:val="00E7209E"/>
    <w:rsid w:val="00E73797"/>
    <w:rsid w:val="00E7660F"/>
    <w:rsid w:val="00E878C7"/>
    <w:rsid w:val="00EA3853"/>
    <w:rsid w:val="00EA7A17"/>
    <w:rsid w:val="00EB3DA9"/>
    <w:rsid w:val="00EE043D"/>
    <w:rsid w:val="00EE131A"/>
    <w:rsid w:val="00EF3BED"/>
    <w:rsid w:val="00EF6BEB"/>
    <w:rsid w:val="00EF7F0D"/>
    <w:rsid w:val="00F338DE"/>
    <w:rsid w:val="00F36AB7"/>
    <w:rsid w:val="00F452F9"/>
    <w:rsid w:val="00F61092"/>
    <w:rsid w:val="00F710E7"/>
    <w:rsid w:val="00F7237F"/>
    <w:rsid w:val="00FA5A1E"/>
    <w:rsid w:val="00FB33B9"/>
    <w:rsid w:val="00FC73CA"/>
    <w:rsid w:val="00FD1ED6"/>
    <w:rsid w:val="00FD7254"/>
    <w:rsid w:val="00FE4490"/>
    <w:rsid w:val="00FF0128"/>
    <w:rsid w:val="03DC7351"/>
    <w:rsid w:val="2ADEC044"/>
    <w:rsid w:val="3EF0EC61"/>
    <w:rsid w:val="632258BE"/>
    <w:rsid w:val="7E4AD85E"/>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B2E8F"/>
  <w15:chartTrackingRefBased/>
  <w15:docId w15:val="{4376F60C-E682-4A45-AF9C-69CEB75C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710"/>
  </w:style>
  <w:style w:type="paragraph" w:styleId="Titre1">
    <w:name w:val="heading 1"/>
    <w:basedOn w:val="Normal"/>
    <w:next w:val="Normal"/>
    <w:link w:val="Titre1Car"/>
    <w:uiPriority w:val="9"/>
    <w:qFormat/>
    <w:rsid w:val="004735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Paragraphe + puce,Lettre d'introduction,List Paragraph1,Numbered paragraph 1,tiret2,Bullet 1,Liste Niveau 1,Paragraphe de liste1,1st level - Bullet List Paragraph,Normal bullet 2,Bullet list,Listenabsatz,Bullet Niv 1,Puce tiret"/>
    <w:basedOn w:val="Normal"/>
    <w:link w:val="ParagraphedelisteCar"/>
    <w:uiPriority w:val="34"/>
    <w:qFormat/>
    <w:rsid w:val="00B53D7E"/>
    <w:pPr>
      <w:ind w:left="720"/>
      <w:contextualSpacing/>
    </w:pPr>
  </w:style>
  <w:style w:type="paragraph" w:styleId="En-tte">
    <w:name w:val="header"/>
    <w:basedOn w:val="Normal"/>
    <w:link w:val="En-tteCar"/>
    <w:uiPriority w:val="99"/>
    <w:unhideWhenUsed/>
    <w:rsid w:val="006E5239"/>
    <w:pPr>
      <w:tabs>
        <w:tab w:val="center" w:pos="4536"/>
        <w:tab w:val="right" w:pos="9072"/>
      </w:tabs>
      <w:spacing w:after="0" w:line="240" w:lineRule="auto"/>
    </w:pPr>
  </w:style>
  <w:style w:type="character" w:customStyle="1" w:styleId="En-tteCar">
    <w:name w:val="En-tête Car"/>
    <w:basedOn w:val="Policepardfaut"/>
    <w:link w:val="En-tte"/>
    <w:uiPriority w:val="99"/>
    <w:rsid w:val="006E5239"/>
  </w:style>
  <w:style w:type="paragraph" w:styleId="Pieddepage">
    <w:name w:val="footer"/>
    <w:basedOn w:val="Normal"/>
    <w:link w:val="PieddepageCar"/>
    <w:uiPriority w:val="99"/>
    <w:unhideWhenUsed/>
    <w:rsid w:val="006E52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5239"/>
  </w:style>
  <w:style w:type="character" w:customStyle="1" w:styleId="Titre1Car">
    <w:name w:val="Titre 1 Car"/>
    <w:basedOn w:val="Policepardfaut"/>
    <w:link w:val="Titre1"/>
    <w:uiPriority w:val="9"/>
    <w:rsid w:val="004735A5"/>
    <w:rPr>
      <w:rFonts w:asciiTheme="majorHAnsi" w:eastAsiaTheme="majorEastAsia" w:hAnsiTheme="majorHAnsi" w:cstheme="majorBidi"/>
      <w:color w:val="365F91" w:themeColor="accent1" w:themeShade="BF"/>
      <w:sz w:val="32"/>
      <w:szCs w:val="32"/>
    </w:rPr>
  </w:style>
  <w:style w:type="paragraph" w:customStyle="1" w:styleId="elementtoproof">
    <w:name w:val="elementtoproof"/>
    <w:basedOn w:val="Normal"/>
    <w:rsid w:val="00505238"/>
    <w:pPr>
      <w:spacing w:before="100" w:beforeAutospacing="1" w:after="100" w:afterAutospacing="1" w:line="240" w:lineRule="auto"/>
    </w:pPr>
    <w:rPr>
      <w:rFonts w:ascii="Calibri" w:hAnsi="Calibri" w:cs="Calibri"/>
      <w:lang w:eastAsia="fr-BE"/>
    </w:rPr>
  </w:style>
  <w:style w:type="paragraph" w:styleId="NormalWeb">
    <w:name w:val="Normal (Web)"/>
    <w:basedOn w:val="Normal"/>
    <w:uiPriority w:val="99"/>
    <w:semiHidden/>
    <w:unhideWhenUsed/>
    <w:rsid w:val="00D75A7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2C58AF"/>
    <w:rPr>
      <w:color w:val="0000FF" w:themeColor="hyperlink"/>
      <w:u w:val="single"/>
    </w:rPr>
  </w:style>
  <w:style w:type="character" w:styleId="Mentionnonrsolue">
    <w:name w:val="Unresolved Mention"/>
    <w:basedOn w:val="Policepardfaut"/>
    <w:uiPriority w:val="99"/>
    <w:semiHidden/>
    <w:unhideWhenUsed/>
    <w:rsid w:val="002C58AF"/>
    <w:rPr>
      <w:color w:val="605E5C"/>
      <w:shd w:val="clear" w:color="auto" w:fill="E1DFDD"/>
    </w:rPr>
  </w:style>
  <w:style w:type="character" w:styleId="Marquedecommentaire">
    <w:name w:val="annotation reference"/>
    <w:basedOn w:val="Policepardfaut"/>
    <w:uiPriority w:val="99"/>
    <w:semiHidden/>
    <w:unhideWhenUsed/>
    <w:rsid w:val="001338F6"/>
    <w:rPr>
      <w:sz w:val="16"/>
      <w:szCs w:val="16"/>
    </w:rPr>
  </w:style>
  <w:style w:type="paragraph" w:styleId="Commentaire">
    <w:name w:val="annotation text"/>
    <w:basedOn w:val="Normal"/>
    <w:link w:val="CommentaireCar"/>
    <w:uiPriority w:val="99"/>
    <w:semiHidden/>
    <w:unhideWhenUsed/>
    <w:rsid w:val="001338F6"/>
    <w:pPr>
      <w:spacing w:line="240" w:lineRule="auto"/>
    </w:pPr>
    <w:rPr>
      <w:sz w:val="20"/>
      <w:szCs w:val="20"/>
    </w:rPr>
  </w:style>
  <w:style w:type="character" w:customStyle="1" w:styleId="CommentaireCar">
    <w:name w:val="Commentaire Car"/>
    <w:basedOn w:val="Policepardfaut"/>
    <w:link w:val="Commentaire"/>
    <w:uiPriority w:val="99"/>
    <w:semiHidden/>
    <w:rsid w:val="001338F6"/>
    <w:rPr>
      <w:sz w:val="20"/>
      <w:szCs w:val="20"/>
    </w:rPr>
  </w:style>
  <w:style w:type="paragraph" w:styleId="Objetducommentaire">
    <w:name w:val="annotation subject"/>
    <w:basedOn w:val="Commentaire"/>
    <w:next w:val="Commentaire"/>
    <w:link w:val="ObjetducommentaireCar"/>
    <w:uiPriority w:val="99"/>
    <w:semiHidden/>
    <w:unhideWhenUsed/>
    <w:rsid w:val="001338F6"/>
    <w:rPr>
      <w:b/>
      <w:bCs/>
    </w:rPr>
  </w:style>
  <w:style w:type="character" w:customStyle="1" w:styleId="ObjetducommentaireCar">
    <w:name w:val="Objet du commentaire Car"/>
    <w:basedOn w:val="CommentaireCar"/>
    <w:link w:val="Objetducommentaire"/>
    <w:uiPriority w:val="99"/>
    <w:semiHidden/>
    <w:rsid w:val="001338F6"/>
    <w:rPr>
      <w:b/>
      <w:bCs/>
      <w:sz w:val="20"/>
      <w:szCs w:val="20"/>
    </w:rPr>
  </w:style>
  <w:style w:type="character" w:customStyle="1" w:styleId="ParagraphedelisteCar">
    <w:name w:val="Paragraphe de liste Car"/>
    <w:aliases w:val="TITRE Car,Paragraphe + puce Car,Lettre d'introduction Car,List Paragraph1 Car,Numbered paragraph 1 Car,tiret2 Car,Bullet 1 Car,Liste Niveau 1 Car,Paragraphe de liste1 Car,1st level - Bullet List Paragraph Car,Normal bullet 2 Car"/>
    <w:link w:val="Paragraphedeliste"/>
    <w:uiPriority w:val="34"/>
    <w:qFormat/>
    <w:rsid w:val="003C6E98"/>
  </w:style>
  <w:style w:type="character" w:styleId="Lienhypertextesuivivisit">
    <w:name w:val="FollowedHyperlink"/>
    <w:basedOn w:val="Policepardfaut"/>
    <w:uiPriority w:val="99"/>
    <w:semiHidden/>
    <w:unhideWhenUsed/>
    <w:rsid w:val="005077EE"/>
    <w:rPr>
      <w:color w:val="800080" w:themeColor="followedHyperlink"/>
      <w:u w:val="single"/>
    </w:rPr>
  </w:style>
  <w:style w:type="character" w:customStyle="1" w:styleId="apple-converted-space">
    <w:name w:val="apple-converted-space"/>
    <w:basedOn w:val="Policepardfaut"/>
    <w:rsid w:val="001C62AD"/>
  </w:style>
  <w:style w:type="character" w:customStyle="1" w:styleId="ui-provider">
    <w:name w:val="ui-provider"/>
    <w:basedOn w:val="Policepardfaut"/>
    <w:rsid w:val="001C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7529">
      <w:bodyDiv w:val="1"/>
      <w:marLeft w:val="0"/>
      <w:marRight w:val="0"/>
      <w:marTop w:val="0"/>
      <w:marBottom w:val="0"/>
      <w:divBdr>
        <w:top w:val="none" w:sz="0" w:space="0" w:color="auto"/>
        <w:left w:val="none" w:sz="0" w:space="0" w:color="auto"/>
        <w:bottom w:val="none" w:sz="0" w:space="0" w:color="auto"/>
        <w:right w:val="none" w:sz="0" w:space="0" w:color="auto"/>
      </w:divBdr>
    </w:div>
    <w:div w:id="65953593">
      <w:bodyDiv w:val="1"/>
      <w:marLeft w:val="0"/>
      <w:marRight w:val="0"/>
      <w:marTop w:val="0"/>
      <w:marBottom w:val="0"/>
      <w:divBdr>
        <w:top w:val="none" w:sz="0" w:space="0" w:color="auto"/>
        <w:left w:val="none" w:sz="0" w:space="0" w:color="auto"/>
        <w:bottom w:val="none" w:sz="0" w:space="0" w:color="auto"/>
        <w:right w:val="none" w:sz="0" w:space="0" w:color="auto"/>
      </w:divBdr>
    </w:div>
    <w:div w:id="405149121">
      <w:bodyDiv w:val="1"/>
      <w:marLeft w:val="0"/>
      <w:marRight w:val="0"/>
      <w:marTop w:val="0"/>
      <w:marBottom w:val="0"/>
      <w:divBdr>
        <w:top w:val="none" w:sz="0" w:space="0" w:color="auto"/>
        <w:left w:val="none" w:sz="0" w:space="0" w:color="auto"/>
        <w:bottom w:val="none" w:sz="0" w:space="0" w:color="auto"/>
        <w:right w:val="none" w:sz="0" w:space="0" w:color="auto"/>
      </w:divBdr>
    </w:div>
    <w:div w:id="410078651">
      <w:bodyDiv w:val="1"/>
      <w:marLeft w:val="0"/>
      <w:marRight w:val="0"/>
      <w:marTop w:val="0"/>
      <w:marBottom w:val="0"/>
      <w:divBdr>
        <w:top w:val="none" w:sz="0" w:space="0" w:color="auto"/>
        <w:left w:val="none" w:sz="0" w:space="0" w:color="auto"/>
        <w:bottom w:val="none" w:sz="0" w:space="0" w:color="auto"/>
        <w:right w:val="none" w:sz="0" w:space="0" w:color="auto"/>
      </w:divBdr>
    </w:div>
    <w:div w:id="912932446">
      <w:bodyDiv w:val="1"/>
      <w:marLeft w:val="0"/>
      <w:marRight w:val="0"/>
      <w:marTop w:val="0"/>
      <w:marBottom w:val="0"/>
      <w:divBdr>
        <w:top w:val="none" w:sz="0" w:space="0" w:color="auto"/>
        <w:left w:val="none" w:sz="0" w:space="0" w:color="auto"/>
        <w:bottom w:val="none" w:sz="0" w:space="0" w:color="auto"/>
        <w:right w:val="none" w:sz="0" w:space="0" w:color="auto"/>
      </w:divBdr>
    </w:div>
    <w:div w:id="1034696500">
      <w:bodyDiv w:val="1"/>
      <w:marLeft w:val="0"/>
      <w:marRight w:val="0"/>
      <w:marTop w:val="0"/>
      <w:marBottom w:val="0"/>
      <w:divBdr>
        <w:top w:val="none" w:sz="0" w:space="0" w:color="auto"/>
        <w:left w:val="none" w:sz="0" w:space="0" w:color="auto"/>
        <w:bottom w:val="none" w:sz="0" w:space="0" w:color="auto"/>
        <w:right w:val="none" w:sz="0" w:space="0" w:color="auto"/>
      </w:divBdr>
    </w:div>
    <w:div w:id="1148715744">
      <w:bodyDiv w:val="1"/>
      <w:marLeft w:val="0"/>
      <w:marRight w:val="0"/>
      <w:marTop w:val="0"/>
      <w:marBottom w:val="0"/>
      <w:divBdr>
        <w:top w:val="none" w:sz="0" w:space="0" w:color="auto"/>
        <w:left w:val="none" w:sz="0" w:space="0" w:color="auto"/>
        <w:bottom w:val="none" w:sz="0" w:space="0" w:color="auto"/>
        <w:right w:val="none" w:sz="0" w:space="0" w:color="auto"/>
      </w:divBdr>
    </w:div>
    <w:div w:id="1188983839">
      <w:bodyDiv w:val="1"/>
      <w:marLeft w:val="0"/>
      <w:marRight w:val="0"/>
      <w:marTop w:val="0"/>
      <w:marBottom w:val="0"/>
      <w:divBdr>
        <w:top w:val="none" w:sz="0" w:space="0" w:color="auto"/>
        <w:left w:val="none" w:sz="0" w:space="0" w:color="auto"/>
        <w:bottom w:val="none" w:sz="0" w:space="0" w:color="auto"/>
        <w:right w:val="none" w:sz="0" w:space="0" w:color="auto"/>
      </w:divBdr>
    </w:div>
    <w:div w:id="1446850901">
      <w:bodyDiv w:val="1"/>
      <w:marLeft w:val="0"/>
      <w:marRight w:val="0"/>
      <w:marTop w:val="0"/>
      <w:marBottom w:val="0"/>
      <w:divBdr>
        <w:top w:val="none" w:sz="0" w:space="0" w:color="auto"/>
        <w:left w:val="none" w:sz="0" w:space="0" w:color="auto"/>
        <w:bottom w:val="none" w:sz="0" w:space="0" w:color="auto"/>
        <w:right w:val="none" w:sz="0" w:space="0" w:color="auto"/>
      </w:divBdr>
    </w:div>
    <w:div w:id="20921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onomie.wallonie.be/sites/default/files/Annexe%201%20v_2021.pdf" TargetMode="External"/><Relationship Id="rId18" Type="http://schemas.openxmlformats.org/officeDocument/2006/relationships/hyperlink" Target="https://economie.wallonie.be/sites/default/files/Annexe%201%20v_202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onomie.wallonie.be/sites/default/files/Annexe%201%20v_2021.pdf" TargetMode="External"/><Relationship Id="rId17" Type="http://schemas.openxmlformats.org/officeDocument/2006/relationships/hyperlink" Target="https://economie.wallonie.be/sites/default/files/Annexe%201%20v_2021.pdf" TargetMode="External"/><Relationship Id="rId2" Type="http://schemas.openxmlformats.org/officeDocument/2006/relationships/customXml" Target="../customXml/item2.xml"/><Relationship Id="rId16" Type="http://schemas.openxmlformats.org/officeDocument/2006/relationships/hyperlink" Target="https://economie.wallonie.be/sites/default/files/Annexe%201%20v_20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conomie.wallonie.be/sites/default/files/Annexe%201%20v_2021.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nomie.wallonie.be/sites/default/files/Annexe%201%20v_2021.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d70855-4555-4fc6-8fbc-e6f843257071" xsi:nil="true"/>
    <lcf76f155ced4ddcb4097134ff3c332f xmlns="ccdb75ce-c0b7-4ff5-9fa7-cc4f5a87d5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28FA6667BEE4409F0B480276429A7C" ma:contentTypeVersion="15" ma:contentTypeDescription="Crée un document." ma:contentTypeScope="" ma:versionID="3a77bed45e1b3ac272718c166a00ac66">
  <xsd:schema xmlns:xsd="http://www.w3.org/2001/XMLSchema" xmlns:xs="http://www.w3.org/2001/XMLSchema" xmlns:p="http://schemas.microsoft.com/office/2006/metadata/properties" xmlns:ns2="ccdb75ce-c0b7-4ff5-9fa7-cc4f5a87d5d8" xmlns:ns3="9dd70855-4555-4fc6-8fbc-e6f843257071" targetNamespace="http://schemas.microsoft.com/office/2006/metadata/properties" ma:root="true" ma:fieldsID="0581189528dfdaa35da30cafa3b89307" ns2:_="" ns3:_="">
    <xsd:import namespace="ccdb75ce-c0b7-4ff5-9fa7-cc4f5a87d5d8"/>
    <xsd:import namespace="9dd70855-4555-4fc6-8fbc-e6f8432570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75ce-c0b7-4ff5-9fa7-cc4f5a87d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70855-4555-4fc6-8fbc-e6f843257071"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2e5236c-518e-4152-9fe9-a31ba7ca4037}" ma:internalName="TaxCatchAll" ma:showField="CatchAllData" ma:web="9dd70855-4555-4fc6-8fbc-e6f843257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C2B6F-5AE6-42E4-A4A0-D5FB55D2E1DC}">
  <ds:schemaRefs>
    <ds:schemaRef ds:uri="http://schemas.openxmlformats.org/officeDocument/2006/bibliography"/>
  </ds:schemaRefs>
</ds:datastoreItem>
</file>

<file path=customXml/itemProps2.xml><?xml version="1.0" encoding="utf-8"?>
<ds:datastoreItem xmlns:ds="http://schemas.openxmlformats.org/officeDocument/2006/customXml" ds:itemID="{E702A250-6D38-45A6-A575-A71BC155DD43}">
  <ds:schemaRefs>
    <ds:schemaRef ds:uri="http://schemas.microsoft.com/office/2006/metadata/properties"/>
    <ds:schemaRef ds:uri="http://schemas.microsoft.com/office/infopath/2007/PartnerControls"/>
    <ds:schemaRef ds:uri="9dd70855-4555-4fc6-8fbc-e6f843257071"/>
    <ds:schemaRef ds:uri="ccdb75ce-c0b7-4ff5-9fa7-cc4f5a87d5d8"/>
  </ds:schemaRefs>
</ds:datastoreItem>
</file>

<file path=customXml/itemProps3.xml><?xml version="1.0" encoding="utf-8"?>
<ds:datastoreItem xmlns:ds="http://schemas.openxmlformats.org/officeDocument/2006/customXml" ds:itemID="{1850A059-779E-4677-87B6-D4F141E5D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75ce-c0b7-4ff5-9fa7-cc4f5a87d5d8"/>
    <ds:schemaRef ds:uri="9dd70855-4555-4fc6-8fbc-e6f843257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AD3F7-5085-4717-A87A-D609ECCF3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2016</Words>
  <Characters>11088</Characters>
  <Application>Microsoft Office Word</Application>
  <DocSecurity>0</DocSecurity>
  <Lines>92</Lines>
  <Paragraphs>26</Paragraphs>
  <ScaleCrop>false</ScaleCrop>
  <Company/>
  <LinksUpToDate>false</LinksUpToDate>
  <CharactersWithSpaces>13078</CharactersWithSpaces>
  <SharedDoc>false</SharedDoc>
  <HLinks>
    <vt:vector size="30" baseType="variant">
      <vt:variant>
        <vt:i4>7536653</vt:i4>
      </vt:variant>
      <vt:variant>
        <vt:i4>12</vt:i4>
      </vt:variant>
      <vt:variant>
        <vt:i4>0</vt:i4>
      </vt:variant>
      <vt:variant>
        <vt:i4>5</vt:i4>
      </vt:variant>
      <vt:variant>
        <vt:lpwstr>https://economie.wallonie.be/sites/default/files/Annexe 1 v_2021.pdf</vt:lpwstr>
      </vt:variant>
      <vt:variant>
        <vt:lpwstr/>
      </vt:variant>
      <vt:variant>
        <vt:i4>7536653</vt:i4>
      </vt:variant>
      <vt:variant>
        <vt:i4>9</vt:i4>
      </vt:variant>
      <vt:variant>
        <vt:i4>0</vt:i4>
      </vt:variant>
      <vt:variant>
        <vt:i4>5</vt:i4>
      </vt:variant>
      <vt:variant>
        <vt:lpwstr>https://economie.wallonie.be/sites/default/files/Annexe 1 v_2021.pdf</vt:lpwstr>
      </vt:variant>
      <vt:variant>
        <vt:lpwstr/>
      </vt:variant>
      <vt:variant>
        <vt:i4>7536653</vt:i4>
      </vt:variant>
      <vt:variant>
        <vt:i4>6</vt:i4>
      </vt:variant>
      <vt:variant>
        <vt:i4>0</vt:i4>
      </vt:variant>
      <vt:variant>
        <vt:i4>5</vt:i4>
      </vt:variant>
      <vt:variant>
        <vt:lpwstr>https://economie.wallonie.be/sites/default/files/Annexe 1 v_2021.pdf</vt:lpwstr>
      </vt:variant>
      <vt:variant>
        <vt:lpwstr/>
      </vt:variant>
      <vt:variant>
        <vt:i4>7536653</vt:i4>
      </vt:variant>
      <vt:variant>
        <vt:i4>3</vt:i4>
      </vt:variant>
      <vt:variant>
        <vt:i4>0</vt:i4>
      </vt:variant>
      <vt:variant>
        <vt:i4>5</vt:i4>
      </vt:variant>
      <vt:variant>
        <vt:lpwstr>https://economie.wallonie.be/sites/default/files/Annexe 1 v_2021.pdf</vt:lpwstr>
      </vt:variant>
      <vt:variant>
        <vt:lpwstr/>
      </vt:variant>
      <vt:variant>
        <vt:i4>7536653</vt:i4>
      </vt:variant>
      <vt:variant>
        <vt:i4>0</vt:i4>
      </vt:variant>
      <vt:variant>
        <vt:i4>0</vt:i4>
      </vt:variant>
      <vt:variant>
        <vt:i4>5</vt:i4>
      </vt:variant>
      <vt:variant>
        <vt:lpwstr>https://economie.wallonie.be/sites/default/files/Annexe 1 v_2021.pdf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GROMMERSCH Larissa</dc:creator>
  <cp:keywords/>
  <dc:description/>
  <cp:lastModifiedBy>HERBECQ Fanny</cp:lastModifiedBy>
  <cp:revision>4</cp:revision>
  <dcterms:created xsi:type="dcterms:W3CDTF">2023-05-11T07:16:00Z</dcterms:created>
  <dcterms:modified xsi:type="dcterms:W3CDTF">2023-05-15T09:38:00Z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2023-04-11T12:28:09Z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14642f4b-1ea1-4560-a6d6-7c5cac33cc0f</vt:lpwstr>
  </property>
  <property fmtid="{D5CDD505-2E9C-101B-9397-08002B2CF9AE}" pid="8" name="MSIP_Label_97a477d1-147d-4e34-b5e3-7b26d2f44870_ContentBits">
    <vt:lpwstr>0</vt:lpwstr>
  </property>
  <property fmtid="{D5CDD505-2E9C-101B-9397-08002B2CF9AE}" pid="9" name="ContentTypeId">
    <vt:lpwstr>0x010100B128FA6667BEE4409F0B480276429A7C</vt:lpwstr>
  </property>
  <property fmtid="{D5CDD505-2E9C-101B-9397-08002B2CF9AE}" pid="10" name="MediaServiceImageTags">
    <vt:lpwstr/>
  </property>
</Properties>
</file>