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BF38" w14:textId="17F0021C" w:rsidR="00292E2F" w:rsidRPr="00163597" w:rsidRDefault="00B62780" w:rsidP="00510658">
      <w:pPr>
        <w:pStyle w:val="Titre"/>
        <w:rPr>
          <w:sz w:val="32"/>
          <w:szCs w:val="32"/>
          <w:lang w:val="en-GB"/>
        </w:rPr>
      </w:pPr>
      <w:r>
        <w:rPr>
          <w:b w:val="0"/>
          <w:bCs w:val="0"/>
          <w:noProof/>
          <w:color w:val="809EC2" w:themeColor="accent6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FB6D2C7" wp14:editId="32DD0073">
            <wp:simplePos x="0" y="0"/>
            <wp:positionH relativeFrom="margin">
              <wp:posOffset>-635</wp:posOffset>
            </wp:positionH>
            <wp:positionV relativeFrom="paragraph">
              <wp:posOffset>410845</wp:posOffset>
            </wp:positionV>
            <wp:extent cx="480060" cy="480060"/>
            <wp:effectExtent l="0" t="0" r="0" b="0"/>
            <wp:wrapSquare wrapText="bothSides"/>
            <wp:docPr id="1" name="Graphique 1" descr="Mill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Mill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AE5" w:rsidRPr="00163597">
        <w:rPr>
          <w:sz w:val="32"/>
          <w:szCs w:val="32"/>
          <w:lang w:val="en-GB"/>
        </w:rPr>
        <w:t>Digital 4 Pest, Disease and Weed Biocontrol</w:t>
      </w:r>
    </w:p>
    <w:p w14:paraId="4C11BA40" w14:textId="68B667BB" w:rsidR="009117D3" w:rsidRDefault="009E2616" w:rsidP="00742320">
      <w:pPr>
        <w:pStyle w:val="Sansinterligne"/>
        <w:jc w:val="both"/>
      </w:pPr>
      <w:r w:rsidRPr="008C71E8">
        <w:rPr>
          <w:b/>
          <w:bCs/>
          <w:color w:val="344D6C" w:themeColor="accent6" w:themeShade="80"/>
        </w:rPr>
        <w:t>Notre ambition :</w:t>
      </w:r>
      <w:r w:rsidRPr="008C71E8">
        <w:rPr>
          <w:color w:val="344D6C" w:themeColor="accent6" w:themeShade="80"/>
        </w:rPr>
        <w:t xml:space="preserve"> </w:t>
      </w:r>
      <w:r w:rsidR="00163597">
        <w:rPr>
          <w:color w:val="344D6C" w:themeColor="accent6" w:themeShade="80"/>
        </w:rPr>
        <w:t xml:space="preserve">Le </w:t>
      </w:r>
      <w:r w:rsidR="00163597">
        <w:t>r</w:t>
      </w:r>
      <w:r w:rsidR="00DF1CB6" w:rsidRPr="00DF1CB6">
        <w:t xml:space="preserve">enforcement de l’éco-système wallon du biocontrôle </w:t>
      </w:r>
      <w:r w:rsidR="00163597">
        <w:t xml:space="preserve">en interconnectant le monde du numérique (applications, capteurs, robots…) et celui de la lutte biologique contre les prédateurs des plantes </w:t>
      </w:r>
      <w:r w:rsidR="00DF1CB6" w:rsidRPr="00DF1CB6">
        <w:t>au travers de trois piliers que sont l’innovation/R&amp;D, la formation et l’entreprenariat.</w:t>
      </w:r>
    </w:p>
    <w:p w14:paraId="38B66D2A" w14:textId="77777777" w:rsidR="00A840AA" w:rsidRPr="00DD1191" w:rsidRDefault="00A840AA" w:rsidP="00742320">
      <w:pPr>
        <w:pStyle w:val="Sansinterligne"/>
        <w:rPr>
          <w:color w:val="344D6C" w:themeColor="accent6" w:themeShade="80"/>
        </w:rPr>
      </w:pPr>
    </w:p>
    <w:p w14:paraId="65B711C6" w14:textId="35E521EB" w:rsidR="008C71E8" w:rsidRPr="0071454F" w:rsidRDefault="009117D3" w:rsidP="00292E2F">
      <w:pPr>
        <w:rPr>
          <w:b/>
          <w:bCs/>
          <w:color w:val="344D6C" w:themeColor="accent6" w:themeShade="80"/>
        </w:rPr>
      </w:pPr>
      <w:r>
        <w:rPr>
          <w:b/>
          <w:bCs/>
          <w:noProof/>
          <w:color w:val="809EC2" w:themeColor="accent6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8D6C1F0" wp14:editId="43D8F27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56260" cy="556260"/>
            <wp:effectExtent l="0" t="0" r="0" b="0"/>
            <wp:wrapSquare wrapText="bothSides"/>
            <wp:docPr id="2" name="Graphique 2" descr="Connexio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nnexions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E8" w:rsidRPr="0071454F">
        <w:rPr>
          <w:b/>
          <w:bCs/>
          <w:color w:val="344D6C" w:themeColor="accent6" w:themeShade="80"/>
        </w:rPr>
        <w:t>Les acteurs clés de l’initiative</w:t>
      </w:r>
      <w:r w:rsidR="0071454F" w:rsidRPr="0071454F">
        <w:rPr>
          <w:b/>
          <w:bCs/>
          <w:color w:val="344D6C" w:themeColor="accent6" w:themeShade="80"/>
        </w:rPr>
        <w:t> :</w:t>
      </w:r>
    </w:p>
    <w:p w14:paraId="2173BC8E" w14:textId="75BE24A9" w:rsidR="00A840AA" w:rsidRPr="00742320" w:rsidRDefault="00163597" w:rsidP="00742320">
      <w:pPr>
        <w:spacing w:after="0" w:line="240" w:lineRule="auto"/>
        <w:jc w:val="both"/>
        <w:rPr>
          <w:iCs/>
        </w:rPr>
      </w:pPr>
      <w:r w:rsidRPr="00A840AA">
        <w:rPr>
          <w:iCs/>
        </w:rPr>
        <w:t xml:space="preserve">Actuellement </w:t>
      </w:r>
      <w:r w:rsidR="00B31525" w:rsidRPr="00A840AA">
        <w:rPr>
          <w:iCs/>
        </w:rPr>
        <w:t xml:space="preserve">5 universités (Uliège, Umons, Ulouvain, Unamur, ULB), </w:t>
      </w:r>
      <w:r w:rsidR="00DF1CB6" w:rsidRPr="00A840AA">
        <w:rPr>
          <w:iCs/>
        </w:rPr>
        <w:t>5 centres de recherches</w:t>
      </w:r>
      <w:r w:rsidR="00B31525" w:rsidRPr="00047244">
        <w:rPr>
          <w:iCs/>
        </w:rPr>
        <w:t xml:space="preserve"> (CRAw, CER Groupe, CARAH, Celabor, Cebedeau ASBL</w:t>
      </w:r>
      <w:r w:rsidR="00047244">
        <w:rPr>
          <w:iCs/>
        </w:rPr>
        <w:t>, Materia Nova ASBL</w:t>
      </w:r>
      <w:r w:rsidR="00B31525" w:rsidRPr="00047244">
        <w:rPr>
          <w:iCs/>
        </w:rPr>
        <w:t>) et 21 entreprises et ASBL dans le domaine du biocontrôle et du numérique</w:t>
      </w:r>
      <w:r w:rsidR="000C779C" w:rsidRPr="00047244">
        <w:rPr>
          <w:iCs/>
        </w:rPr>
        <w:t> :</w:t>
      </w:r>
      <w:r w:rsidR="00B70A18" w:rsidRPr="00047244">
        <w:rPr>
          <w:iCs/>
        </w:rPr>
        <w:t xml:space="preserve">  </w:t>
      </w:r>
      <w:r w:rsidR="00865F38" w:rsidRPr="00047244">
        <w:rPr>
          <w:iCs/>
        </w:rPr>
        <w:t>Phoenix AI SA, FW Bioconsult SRL, Artechno SA, APEO srl, Bizzdev SA, Wapinvest SA, Redebel Regulatory Affairs</w:t>
      </w:r>
      <w:r w:rsidR="00046D14" w:rsidRPr="00047244">
        <w:rPr>
          <w:iCs/>
        </w:rPr>
        <w:t xml:space="preserve"> scrl</w:t>
      </w:r>
      <w:r w:rsidR="00865F38" w:rsidRPr="00047244">
        <w:rPr>
          <w:iCs/>
        </w:rPr>
        <w:t>, Fytofend SA, Viridaxis SA, Lipofabrik Belgium sprl, Domobios SA, B-Sens</w:t>
      </w:r>
      <w:r w:rsidR="00046D14" w:rsidRPr="00742320">
        <w:rPr>
          <w:iCs/>
        </w:rPr>
        <w:t xml:space="preserve"> sprl</w:t>
      </w:r>
      <w:r w:rsidR="00865F38" w:rsidRPr="00742320">
        <w:rPr>
          <w:iCs/>
        </w:rPr>
        <w:t xml:space="preserve">, </w:t>
      </w:r>
      <w:r w:rsidR="00335747" w:rsidRPr="00742320">
        <w:rPr>
          <w:iCs/>
        </w:rPr>
        <w:t>ALX Systems SA, Cap Innove ASBL, Valbiom</w:t>
      </w:r>
      <w:r w:rsidR="00046D14" w:rsidRPr="00742320">
        <w:rPr>
          <w:iCs/>
        </w:rPr>
        <w:t xml:space="preserve"> ASBL</w:t>
      </w:r>
      <w:r w:rsidR="00335747" w:rsidRPr="00742320">
        <w:rPr>
          <w:iCs/>
        </w:rPr>
        <w:t>, , Hedera 22 SA, Fyteko SA, Deltatec SA, Vocsens srl, Aerospacelab</w:t>
      </w:r>
      <w:r w:rsidR="00E24EAA" w:rsidRPr="00742320">
        <w:rPr>
          <w:iCs/>
        </w:rPr>
        <w:t xml:space="preserve"> SA</w:t>
      </w:r>
      <w:r w:rsidR="00116592" w:rsidRPr="00742320">
        <w:rPr>
          <w:iCs/>
        </w:rPr>
        <w:t>, Spacebel</w:t>
      </w:r>
      <w:r w:rsidR="00DD1191" w:rsidRPr="00742320">
        <w:rPr>
          <w:iCs/>
        </w:rPr>
        <w:t xml:space="preserve"> </w:t>
      </w:r>
    </w:p>
    <w:p w14:paraId="72712D2E" w14:textId="24F68C5E" w:rsidR="00B62780" w:rsidRPr="00DD1191" w:rsidRDefault="005F5E4A" w:rsidP="00742320">
      <w:pPr>
        <w:pStyle w:val="Sansinterligne"/>
      </w:pPr>
      <w:r>
        <w:rPr>
          <w:b/>
          <w:bCs/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47D169CC" wp14:editId="364FD1D0">
            <wp:simplePos x="0" y="0"/>
            <wp:positionH relativeFrom="margin">
              <wp:posOffset>-635</wp:posOffset>
            </wp:positionH>
            <wp:positionV relativeFrom="paragraph">
              <wp:posOffset>255905</wp:posOffset>
            </wp:positionV>
            <wp:extent cx="579120" cy="579120"/>
            <wp:effectExtent l="0" t="0" r="0" b="0"/>
            <wp:wrapSquare wrapText="bothSides"/>
            <wp:docPr id="3" name="Graphique 3" descr="Guide opérationne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Guide opérationnel conto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7C26F" w14:textId="64EBEAFC" w:rsidR="00365A50" w:rsidRPr="00177574" w:rsidRDefault="00365A50" w:rsidP="00292E2F">
      <w:pPr>
        <w:rPr>
          <w:b/>
          <w:bCs/>
          <w:color w:val="344D6C" w:themeColor="accent6" w:themeShade="80"/>
        </w:rPr>
      </w:pPr>
      <w:r w:rsidRPr="00177574">
        <w:rPr>
          <w:b/>
          <w:bCs/>
          <w:color w:val="344D6C" w:themeColor="accent6" w:themeShade="80"/>
        </w:rPr>
        <w:t>Nos principaux axes de travail :</w:t>
      </w:r>
    </w:p>
    <w:p w14:paraId="76253D8E" w14:textId="3F789610" w:rsidR="00B31525" w:rsidRPr="00B31525" w:rsidRDefault="00B31525" w:rsidP="00742320">
      <w:pPr>
        <w:spacing w:after="0" w:line="240" w:lineRule="auto"/>
        <w:jc w:val="both"/>
        <w:rPr>
          <w:iCs/>
        </w:rPr>
      </w:pPr>
      <w:r>
        <w:rPr>
          <w:iCs/>
        </w:rPr>
        <w:t xml:space="preserve">1. </w:t>
      </w:r>
      <w:r w:rsidRPr="00B31525">
        <w:rPr>
          <w:iCs/>
        </w:rPr>
        <w:t>Le développement de solutions innovantes de biocontrôle ou plus généralement</w:t>
      </w:r>
      <w:r w:rsidR="00DD1191">
        <w:rPr>
          <w:iCs/>
        </w:rPr>
        <w:t xml:space="preserve"> destinées à</w:t>
      </w:r>
      <w:r w:rsidRPr="00B31525">
        <w:rPr>
          <w:iCs/>
        </w:rPr>
        <w:t xml:space="preserve"> diminuer l’utilisation d</w:t>
      </w:r>
      <w:r w:rsidR="00A840AA">
        <w:rPr>
          <w:iCs/>
        </w:rPr>
        <w:t>’</w:t>
      </w:r>
      <w:r w:rsidRPr="00B31525">
        <w:rPr>
          <w:iCs/>
        </w:rPr>
        <w:t>intrants chimiques nuisibles dans la production agricole</w:t>
      </w:r>
    </w:p>
    <w:p w14:paraId="0DB766E7" w14:textId="56ECBDC5" w:rsidR="00B31525" w:rsidRPr="00B31525" w:rsidRDefault="00B31525" w:rsidP="00742320">
      <w:pPr>
        <w:spacing w:after="0" w:line="240" w:lineRule="auto"/>
        <w:jc w:val="both"/>
        <w:rPr>
          <w:iCs/>
        </w:rPr>
      </w:pPr>
      <w:r>
        <w:rPr>
          <w:iCs/>
        </w:rPr>
        <w:t xml:space="preserve">2. </w:t>
      </w:r>
      <w:r w:rsidRPr="00B31525">
        <w:rPr>
          <w:iCs/>
        </w:rPr>
        <w:t>Le développement de solutions numériques et robotiques (produits et/ou services) permettant l’intégration efficace de ces solutions dans les pratiques agricoles</w:t>
      </w:r>
    </w:p>
    <w:p w14:paraId="37B9B274" w14:textId="204F4DD0" w:rsidR="003C5BA0" w:rsidRDefault="00B31525" w:rsidP="00742320">
      <w:pPr>
        <w:spacing w:after="0" w:line="240" w:lineRule="auto"/>
        <w:jc w:val="both"/>
        <w:rPr>
          <w:iCs/>
        </w:rPr>
      </w:pPr>
      <w:r>
        <w:rPr>
          <w:iCs/>
        </w:rPr>
        <w:t xml:space="preserve">3. </w:t>
      </w:r>
      <w:r w:rsidRPr="00B31525">
        <w:rPr>
          <w:iCs/>
        </w:rPr>
        <w:t>La mise au point de nouvelles technologies pour l’observation des composantes de l’agro-système (sol, environnement, échanges avec la plante) et la mod</w:t>
      </w:r>
      <w:r>
        <w:rPr>
          <w:iCs/>
        </w:rPr>
        <w:t>élisation de leurs interactions</w:t>
      </w:r>
      <w:r w:rsidR="00A840AA">
        <w:rPr>
          <w:iCs/>
        </w:rPr>
        <w:t>.</w:t>
      </w:r>
    </w:p>
    <w:p w14:paraId="785C4324" w14:textId="5730DEE9" w:rsidR="00A840AA" w:rsidRDefault="00A840AA" w:rsidP="007423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La mise au point, la validation et la démonstration de nouvelles pratiques agricoles intégrant ces innovations. </w:t>
      </w:r>
    </w:p>
    <w:p w14:paraId="1D68E1C8" w14:textId="40349EC7" w:rsidR="00A840AA" w:rsidRDefault="00A840AA" w:rsidP="00742320">
      <w:pPr>
        <w:spacing w:after="0" w:line="240" w:lineRule="auto"/>
        <w:jc w:val="both"/>
        <w:rPr>
          <w:iCs/>
        </w:rPr>
      </w:pPr>
      <w:r>
        <w:rPr>
          <w:sz w:val="20"/>
          <w:szCs w:val="20"/>
        </w:rPr>
        <w:t>5. La sensibilisation et la formation des acteurs du milieu agricole à ces nouvelles pratiques.</w:t>
      </w:r>
    </w:p>
    <w:p w14:paraId="3F8ED668" w14:textId="77777777" w:rsidR="00DD1191" w:rsidRPr="00B31525" w:rsidRDefault="00DD1191" w:rsidP="00DD1191">
      <w:pPr>
        <w:spacing w:after="0" w:line="240" w:lineRule="auto"/>
        <w:rPr>
          <w:iCs/>
        </w:rPr>
      </w:pPr>
    </w:p>
    <w:tbl>
      <w:tblPr>
        <w:tblW w:w="973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867"/>
        <w:gridCol w:w="4870"/>
      </w:tblGrid>
      <w:tr w:rsidR="00046A75" w14:paraId="357A3707" w14:textId="77777777" w:rsidTr="00437355">
        <w:trPr>
          <w:trHeight w:val="24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C30A" w14:textId="77777777" w:rsidR="00046A75" w:rsidRDefault="00046A75" w:rsidP="00437355">
            <w:pPr>
              <w:ind w:right="60"/>
              <w:jc w:val="center"/>
            </w:pPr>
            <w:r>
              <w:t xml:space="preserve">DIS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253B" w14:textId="77777777" w:rsidR="00046A75" w:rsidRDefault="00046A75" w:rsidP="00437355">
            <w:pPr>
              <w:ind w:right="62"/>
              <w:jc w:val="center"/>
            </w:pPr>
            <w:r>
              <w:t xml:space="preserve">Aire(s) stratégique(s) visée(s) </w:t>
            </w:r>
          </w:p>
        </w:tc>
      </w:tr>
      <w:tr w:rsidR="00046A75" w14:paraId="0F017A66" w14:textId="77777777" w:rsidTr="00437355">
        <w:trPr>
          <w:trHeight w:val="47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B2FE" w14:textId="77777777" w:rsidR="00046A75" w:rsidRDefault="00046A75" w:rsidP="00742320">
            <w:pPr>
              <w:pStyle w:val="Sansinterligne"/>
            </w:pPr>
            <w:r>
              <w:t xml:space="preserve">DIS Innovations pour des modes de production et de conception agiles et sûrs </w:t>
            </w:r>
          </w:p>
        </w:tc>
        <w:sdt>
          <w:sdtPr>
            <w:tag w:val="goog_rdk_77"/>
            <w:id w:val="807204663"/>
          </w:sdtPr>
          <w:sdtEndPr/>
          <w:sdtContent>
            <w:tc>
              <w:tcPr>
                <w:tcW w:w="4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80"/>
                  <w:id w:val="194669234"/>
                </w:sdtPr>
                <w:sdtEndPr/>
                <w:sdtContent>
                  <w:p w14:paraId="3BFDB47A" w14:textId="421E52BC" w:rsidR="00046A75" w:rsidRDefault="00503B98" w:rsidP="00742320">
                    <w:pPr>
                      <w:pStyle w:val="Sansinterligne"/>
                    </w:pPr>
                    <w:sdt>
                      <w:sdtPr>
                        <w:tag w:val="goog_rdk_79"/>
                        <w:id w:val="2029513987"/>
                      </w:sdtPr>
                      <w:sdtEndPr/>
                      <w:sdtContent>
                        <w:r w:rsidR="00046A75">
                          <w:t>Aire stratégique 3 : Implémentation de l'innovation (des produits, processus et modes organisationnels et stratégiques) à travers la transformation technologique et numérique des chaînes de valeurs au sein du tissu productif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046A75" w14:paraId="68CAC546" w14:textId="77777777" w:rsidTr="0043735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03E" w14:textId="77777777" w:rsidR="00046A75" w:rsidRDefault="00046A75" w:rsidP="00742320">
            <w:pPr>
              <w:pStyle w:val="Sansinterligne"/>
            </w:pPr>
            <w:r>
              <w:t xml:space="preserve">DIS Chaînes agro-alimentaires du futur et gestion innovante de l’environnement </w:t>
            </w:r>
          </w:p>
        </w:tc>
        <w:sdt>
          <w:sdtPr>
            <w:tag w:val="goog_rdk_89"/>
            <w:id w:val="2090187357"/>
          </w:sdtPr>
          <w:sdtEndPr/>
          <w:sdtContent>
            <w:tc>
              <w:tcPr>
                <w:tcW w:w="4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tag w:val="goog_rdk_92"/>
                  <w:id w:val="-1992712614"/>
                </w:sdtPr>
                <w:sdtEndPr/>
                <w:sdtContent>
                  <w:p w14:paraId="127253A8" w14:textId="77777777" w:rsidR="00046A75" w:rsidRDefault="00503B98" w:rsidP="00742320">
                    <w:pPr>
                      <w:pStyle w:val="Sansinterligne"/>
                    </w:pPr>
                    <w:sdt>
                      <w:sdtPr>
                        <w:tag w:val="goog_rdk_91"/>
                        <w:id w:val="-207116060"/>
                      </w:sdtPr>
                      <w:sdtEndPr/>
                      <w:sdtContent>
                        <w:r w:rsidR="00046A75">
                          <w:t>Aire stratégique 2 : Des pratiques agricoles et des productions alimentaires durables</w:t>
                        </w:r>
                      </w:sdtContent>
                    </w:sdt>
                  </w:p>
                </w:sdtContent>
              </w:sdt>
              <w:sdt>
                <w:sdtPr>
                  <w:tag w:val="goog_rdk_95"/>
                  <w:id w:val="-2129159973"/>
                </w:sdtPr>
                <w:sdtEndPr/>
                <w:sdtContent>
                  <w:p w14:paraId="4700124C" w14:textId="32111278" w:rsidR="00046A75" w:rsidRDefault="00503B98" w:rsidP="00742320">
                    <w:pPr>
                      <w:pStyle w:val="Sansinterligne"/>
                    </w:pPr>
                    <w:sdt>
                      <w:sdtPr>
                        <w:tag w:val="goog_rdk_93"/>
                        <w:id w:val="1264344101"/>
                      </w:sdtPr>
                      <w:sdtEndPr/>
                      <w:sdtContent>
                        <w:r w:rsidR="00046A75">
                          <w:t>Aire stratégique 3 : Des produits, des procédés et des services environnementaux innovants à la base d’une nouvelle économie</w:t>
                        </w:r>
                      </w:sdtContent>
                    </w:sdt>
                    <w:sdt>
                      <w:sdtPr>
                        <w:tag w:val="goog_rdk_94"/>
                        <w:id w:val="1478187536"/>
                        <w:showingPlcHdr/>
                      </w:sdtPr>
                      <w:sdtEndPr/>
                      <w:sdtContent>
                        <w:r w:rsidR="00A840AA">
                          <w:t xml:space="preserve">     </w:t>
                        </w:r>
                      </w:sdtContent>
                    </w:sdt>
                  </w:p>
                </w:sdtContent>
              </w:sdt>
            </w:tc>
          </w:sdtContent>
        </w:sdt>
      </w:tr>
    </w:tbl>
    <w:p w14:paraId="2CE9554E" w14:textId="4B631191" w:rsidR="00C125D2" w:rsidRPr="00B62780" w:rsidRDefault="000328CC" w:rsidP="00292E2F">
      <w:pPr>
        <w:rPr>
          <w:i/>
          <w:iCs/>
        </w:rPr>
      </w:pPr>
      <w:r>
        <w:rPr>
          <w:i/>
          <w:iCs/>
          <w:noProof/>
          <w:lang w:val="fr-BE" w:eastAsia="fr-BE"/>
        </w:rPr>
        <w:drawing>
          <wp:inline distT="0" distB="0" distL="0" distR="0" wp14:anchorId="5452C50D" wp14:editId="159FA861">
            <wp:extent cx="396240" cy="3962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fr-BE" w:eastAsia="fr-BE"/>
        </w:rPr>
        <w:drawing>
          <wp:inline distT="0" distB="0" distL="0" distR="0" wp14:anchorId="6D84D3D7" wp14:editId="22F96D56">
            <wp:extent cx="373380" cy="3733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fr-BE" w:eastAsia="fr-BE"/>
        </w:rPr>
        <w:drawing>
          <wp:inline distT="0" distB="0" distL="0" distR="0" wp14:anchorId="2DD2BBAC" wp14:editId="5FCBAE08">
            <wp:extent cx="419100" cy="419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fr-BE" w:eastAsia="fr-BE"/>
        </w:rPr>
        <w:drawing>
          <wp:inline distT="0" distB="0" distL="0" distR="0" wp14:anchorId="01E55E39" wp14:editId="6DB36C42">
            <wp:extent cx="396240" cy="3962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fr-BE" w:eastAsia="fr-BE"/>
        </w:rPr>
        <w:drawing>
          <wp:inline distT="0" distB="0" distL="0" distR="0" wp14:anchorId="519008AA" wp14:editId="4999D8D9">
            <wp:extent cx="358140" cy="3581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FBF9" w14:textId="58E497B3" w:rsidR="00E22374" w:rsidRPr="00E22374" w:rsidRDefault="00C125D2" w:rsidP="00292E2F">
      <w:pPr>
        <w:rPr>
          <w:b/>
          <w:bCs/>
          <w:color w:val="344D6C" w:themeColor="accent6" w:themeShade="80"/>
        </w:rPr>
      </w:pPr>
      <w:r>
        <w:rPr>
          <w:b/>
          <w:bCs/>
          <w:noProof/>
          <w:color w:val="809EC2" w:themeColor="accent6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3B50BDDA" wp14:editId="15BD5BE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57200" cy="457200"/>
            <wp:effectExtent l="0" t="0" r="0" b="0"/>
            <wp:wrapSquare wrapText="bothSides"/>
            <wp:docPr id="4" name="Graphique 4" descr="Adresse de courri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dresse de courrier contou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374" w:rsidRPr="00E22374">
        <w:rPr>
          <w:b/>
          <w:bCs/>
          <w:color w:val="344D6C" w:themeColor="accent6" w:themeShade="80"/>
        </w:rPr>
        <w:t>Contact</w:t>
      </w:r>
      <w:r w:rsidR="00A840AA">
        <w:rPr>
          <w:b/>
          <w:bCs/>
          <w:color w:val="344D6C" w:themeColor="accent6" w:themeShade="80"/>
        </w:rPr>
        <w:t>s</w:t>
      </w:r>
      <w:r w:rsidR="00E22374" w:rsidRPr="00E22374">
        <w:rPr>
          <w:b/>
          <w:bCs/>
          <w:color w:val="344D6C" w:themeColor="accent6" w:themeShade="80"/>
        </w:rPr>
        <w:t> :</w:t>
      </w:r>
    </w:p>
    <w:p w14:paraId="20EBB51B" w14:textId="727F6315" w:rsidR="72356CBB" w:rsidRPr="00012EE9" w:rsidRDefault="001F54B2" w:rsidP="00742320">
      <w:pPr>
        <w:rPr>
          <w:i/>
          <w:iCs/>
        </w:rPr>
      </w:pPr>
      <w:r w:rsidRPr="001F54B2">
        <w:rPr>
          <w:b/>
          <w:bCs/>
        </w:rPr>
        <w:t>Contact général</w:t>
      </w:r>
      <w:r w:rsidRPr="001F54B2">
        <w:t> : Philippe JACQUES, Pr</w:t>
      </w:r>
      <w:r w:rsidR="00163597">
        <w:t>ofesseur, Président de TERRA, UL</w:t>
      </w:r>
      <w:r w:rsidRPr="001F54B2">
        <w:t xml:space="preserve">iège, courriel  </w:t>
      </w:r>
      <w:hyperlink r:id="rId23" w:history="1">
        <w:r w:rsidRPr="001F54B2">
          <w:rPr>
            <w:rStyle w:val="Lienhypertexte"/>
          </w:rPr>
          <w:t>philippe.jacques@uliege.be</w:t>
        </w:r>
      </w:hyperlink>
      <w:r w:rsidRPr="001F54B2">
        <w:br/>
      </w:r>
      <w:r w:rsidRPr="001F54B2">
        <w:rPr>
          <w:b/>
          <w:bCs/>
        </w:rPr>
        <w:t>Contact pour les aspects numériques</w:t>
      </w:r>
      <w:r w:rsidRPr="001F54B2">
        <w:t xml:space="preserve"> : Jean-Yves PARFAIT, Responsable du département Intelligence Artificielle, Multitel, courriel : </w:t>
      </w:r>
      <w:hyperlink r:id="rId24" w:history="1">
        <w:r w:rsidRPr="001F54B2">
          <w:rPr>
            <w:rStyle w:val="Lienhypertexte"/>
          </w:rPr>
          <w:t>parfait@multitel.be</w:t>
        </w:r>
      </w:hyperlink>
      <w:r w:rsidRPr="001F54B2">
        <w:br/>
      </w:r>
      <w:r w:rsidRPr="001F54B2">
        <w:rPr>
          <w:b/>
          <w:bCs/>
        </w:rPr>
        <w:t>Contact pour les plateformes technologiques/analytiques</w:t>
      </w:r>
      <w:r w:rsidRPr="001F54B2">
        <w:t xml:space="preserve"> : Gauthier Eppe, Professeur, Directeur de MolSys, Uliège, courriel : </w:t>
      </w:r>
      <w:r w:rsidRPr="00742320">
        <w:t>g.eppe@uliege.be</w:t>
      </w:r>
    </w:p>
    <w:sectPr w:rsidR="72356CBB" w:rsidRPr="00012EE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9308" w14:textId="77777777" w:rsidR="00782FD1" w:rsidRDefault="00782FD1" w:rsidP="00292E2F">
      <w:r>
        <w:separator/>
      </w:r>
    </w:p>
  </w:endnote>
  <w:endnote w:type="continuationSeparator" w:id="0">
    <w:p w14:paraId="2C52AF53" w14:textId="77777777" w:rsidR="00782FD1" w:rsidRDefault="00782FD1" w:rsidP="0029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850040"/>
      <w:docPartObj>
        <w:docPartGallery w:val="Page Numbers (Bottom of Page)"/>
        <w:docPartUnique/>
      </w:docPartObj>
    </w:sdtPr>
    <w:sdtEndPr/>
    <w:sdtContent>
      <w:p w14:paraId="6DE37D35" w14:textId="390323AE" w:rsidR="00292E2F" w:rsidRDefault="00292E2F" w:rsidP="00292E2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20" w:rsidRPr="00742320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15AD" w14:textId="77777777" w:rsidR="00782FD1" w:rsidRDefault="00782FD1" w:rsidP="00292E2F">
      <w:r>
        <w:separator/>
      </w:r>
    </w:p>
  </w:footnote>
  <w:footnote w:type="continuationSeparator" w:id="0">
    <w:p w14:paraId="717A8F0B" w14:textId="77777777" w:rsidR="00782FD1" w:rsidRDefault="00782FD1" w:rsidP="0029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477C" w14:textId="77777777" w:rsidR="00292E2F" w:rsidRDefault="00292E2F" w:rsidP="00292E2F">
    <w:pPr>
      <w:pStyle w:val="En-tte"/>
    </w:pPr>
    <w:r w:rsidRPr="002F4DC1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FE32E63" wp14:editId="39776535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04850" cy="7048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DC1">
      <w:t>Stratégie de spécialisation intelligente de la Wallonie</w:t>
    </w:r>
  </w:p>
  <w:p w14:paraId="4385449A" w14:textId="77777777" w:rsidR="00292E2F" w:rsidRDefault="00292E2F" w:rsidP="00292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EA"/>
    <w:multiLevelType w:val="hybridMultilevel"/>
    <w:tmpl w:val="2F2024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399"/>
    <w:multiLevelType w:val="multilevel"/>
    <w:tmpl w:val="58F040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E89471E"/>
    <w:multiLevelType w:val="hybridMultilevel"/>
    <w:tmpl w:val="CFC68764"/>
    <w:lvl w:ilvl="0" w:tplc="90EE6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7687"/>
    <w:multiLevelType w:val="multilevel"/>
    <w:tmpl w:val="6226DA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0"/>
    <w:rsid w:val="00012EE9"/>
    <w:rsid w:val="000328CC"/>
    <w:rsid w:val="00046A75"/>
    <w:rsid w:val="00046D14"/>
    <w:rsid w:val="00047244"/>
    <w:rsid w:val="000C779C"/>
    <w:rsid w:val="000D5DCA"/>
    <w:rsid w:val="00116592"/>
    <w:rsid w:val="00163597"/>
    <w:rsid w:val="00177574"/>
    <w:rsid w:val="001F54B2"/>
    <w:rsid w:val="00230AA2"/>
    <w:rsid w:val="00292E2F"/>
    <w:rsid w:val="00335747"/>
    <w:rsid w:val="00365A50"/>
    <w:rsid w:val="003C5BA0"/>
    <w:rsid w:val="004E6AC7"/>
    <w:rsid w:val="00503B98"/>
    <w:rsid w:val="00510658"/>
    <w:rsid w:val="005F5E4A"/>
    <w:rsid w:val="0071454F"/>
    <w:rsid w:val="00730AC9"/>
    <w:rsid w:val="00742320"/>
    <w:rsid w:val="00782FD1"/>
    <w:rsid w:val="007D78CE"/>
    <w:rsid w:val="00807258"/>
    <w:rsid w:val="00865F38"/>
    <w:rsid w:val="008B02EB"/>
    <w:rsid w:val="008C71E8"/>
    <w:rsid w:val="008E214B"/>
    <w:rsid w:val="0090116F"/>
    <w:rsid w:val="009117D3"/>
    <w:rsid w:val="00971069"/>
    <w:rsid w:val="009748EB"/>
    <w:rsid w:val="009E2616"/>
    <w:rsid w:val="009F1598"/>
    <w:rsid w:val="00A25940"/>
    <w:rsid w:val="00A840AA"/>
    <w:rsid w:val="00B31525"/>
    <w:rsid w:val="00B531F9"/>
    <w:rsid w:val="00B62780"/>
    <w:rsid w:val="00B70A18"/>
    <w:rsid w:val="00B974CB"/>
    <w:rsid w:val="00BA02DA"/>
    <w:rsid w:val="00BA3145"/>
    <w:rsid w:val="00C125D2"/>
    <w:rsid w:val="00C60E29"/>
    <w:rsid w:val="00CA26AB"/>
    <w:rsid w:val="00CE6619"/>
    <w:rsid w:val="00D26A50"/>
    <w:rsid w:val="00DB642F"/>
    <w:rsid w:val="00DD1191"/>
    <w:rsid w:val="00DF1CB6"/>
    <w:rsid w:val="00E22374"/>
    <w:rsid w:val="00E24EAA"/>
    <w:rsid w:val="00E4681C"/>
    <w:rsid w:val="00EF2AE5"/>
    <w:rsid w:val="00F207A2"/>
    <w:rsid w:val="00FF56CC"/>
    <w:rsid w:val="067F2C4A"/>
    <w:rsid w:val="0D20D19D"/>
    <w:rsid w:val="13719E95"/>
    <w:rsid w:val="2B2093DF"/>
    <w:rsid w:val="2ED7AEBB"/>
    <w:rsid w:val="3F07BBB3"/>
    <w:rsid w:val="3F756283"/>
    <w:rsid w:val="418051B9"/>
    <w:rsid w:val="43A97D0C"/>
    <w:rsid w:val="44A6E97A"/>
    <w:rsid w:val="44EBE069"/>
    <w:rsid w:val="4C5013D0"/>
    <w:rsid w:val="4D0E8714"/>
    <w:rsid w:val="4D235858"/>
    <w:rsid w:val="4F42262B"/>
    <w:rsid w:val="50CD07A9"/>
    <w:rsid w:val="598D60B1"/>
    <w:rsid w:val="6D09DFAF"/>
    <w:rsid w:val="6FA229D7"/>
    <w:rsid w:val="72356CBB"/>
    <w:rsid w:val="775CA219"/>
    <w:rsid w:val="77602571"/>
    <w:rsid w:val="77A51C60"/>
    <w:rsid w:val="780C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3B427E"/>
  <w15:chartTrackingRefBased/>
  <w15:docId w15:val="{075D04D3-417E-49FA-AEB3-A359954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2F"/>
    <w:pPr>
      <w:spacing w:after="120"/>
    </w:pPr>
    <w:rPr>
      <w:lang w:val="fr"/>
    </w:rPr>
  </w:style>
  <w:style w:type="paragraph" w:styleId="Titre1">
    <w:name w:val="heading 1"/>
    <w:basedOn w:val="Normal"/>
    <w:next w:val="Normal"/>
    <w:link w:val="Titre1Car"/>
    <w:uiPriority w:val="9"/>
    <w:qFormat/>
    <w:rsid w:val="00292E2F"/>
    <w:pPr>
      <w:keepNext/>
      <w:keepLines/>
      <w:numPr>
        <w:numId w:val="2"/>
      </w:numPr>
      <w:pBdr>
        <w:bottom w:val="single" w:sz="12" w:space="1" w:color="B55374" w:themeColor="accent4" w:themeShade="BF"/>
      </w:pBdr>
      <w:spacing w:before="12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E2F"/>
    <w:pPr>
      <w:keepNext/>
      <w:keepLines/>
      <w:numPr>
        <w:ilvl w:val="1"/>
        <w:numId w:val="3"/>
      </w:numPr>
      <w:spacing w:after="24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2E2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2E2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2E2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2E2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2E2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E2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E2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  <w:jc w:val="both"/>
    </w:pPr>
    <w:rPr>
      <w:rFonts w:cs="Tahoma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292E2F"/>
    <w:rPr>
      <w:rFonts w:cs="Tahoma"/>
      <w:color w:val="000000" w:themeColor="text1"/>
      <w:lang w:val="fr"/>
    </w:rPr>
  </w:style>
  <w:style w:type="paragraph" w:styleId="Pieddepage">
    <w:name w:val="footer"/>
    <w:basedOn w:val="Normal"/>
    <w:link w:val="PieddepageC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E2F"/>
  </w:style>
  <w:style w:type="paragraph" w:styleId="Titre">
    <w:name w:val="Title"/>
    <w:basedOn w:val="Normal"/>
    <w:next w:val="Normal"/>
    <w:link w:val="TitreCar"/>
    <w:uiPriority w:val="10"/>
    <w:qFormat/>
    <w:rsid w:val="00510658"/>
    <w:pPr>
      <w:shd w:val="clear" w:color="auto" w:fill="4E74A2" w:themeFill="accent6" w:themeFillShade="BF"/>
      <w:spacing w:after="360" w:line="240" w:lineRule="auto"/>
      <w:contextualSpacing/>
      <w:jc w:val="center"/>
    </w:pPr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0658"/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  <w:shd w:val="clear" w:color="auto" w:fill="4E74A2" w:themeFill="accent6" w:themeFillShade="BF"/>
      <w:lang w:val="fr"/>
    </w:rPr>
  </w:style>
  <w:style w:type="character" w:customStyle="1" w:styleId="Titre1Car">
    <w:name w:val="Titre 1 Car"/>
    <w:basedOn w:val="Policepardfaut"/>
    <w:link w:val="Titre1"/>
    <w:uiPriority w:val="9"/>
    <w:rsid w:val="00292E2F"/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  <w:lang w:val="fr"/>
    </w:rPr>
  </w:style>
  <w:style w:type="character" w:customStyle="1" w:styleId="Titre2Car">
    <w:name w:val="Titre 2 Car"/>
    <w:basedOn w:val="Policepardfaut"/>
    <w:link w:val="Titre2"/>
    <w:uiPriority w:val="9"/>
    <w:rsid w:val="00292E2F"/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  <w:lang w:val="fr"/>
    </w:rPr>
  </w:style>
  <w:style w:type="character" w:customStyle="1" w:styleId="Titre3Car">
    <w:name w:val="Titre 3 Car"/>
    <w:basedOn w:val="Policepardfaut"/>
    <w:link w:val="Titre3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2E2F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2E2F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92E2F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92E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92E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25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54B2"/>
    <w:rPr>
      <w:color w:val="8E58B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F54B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592"/>
    <w:rPr>
      <w:rFonts w:ascii="Segoe UI" w:hAnsi="Segoe UI" w:cs="Segoe UI"/>
      <w:sz w:val="18"/>
      <w:szCs w:val="18"/>
      <w:lang w:val="fr"/>
    </w:rPr>
  </w:style>
  <w:style w:type="paragraph" w:styleId="Sansinterligne">
    <w:name w:val="No Spacing"/>
    <w:uiPriority w:val="1"/>
    <w:qFormat/>
    <w:rsid w:val="00A840AA"/>
    <w:pPr>
      <w:spacing w:after="0" w:line="240" w:lineRule="auto"/>
    </w:pPr>
    <w:rPr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yperlink" Target="mailto:parfait@multitel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mailto:philippe.jacques@uliege.b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7137\Documents\Mod&#232;les%20Office%20personnalis&#233;s\s3.dotx" TargetMode="Externa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5616D77E5E48964B96803CF31B82" ma:contentTypeVersion="2" ma:contentTypeDescription="Crée un document." ma:contentTypeScope="" ma:versionID="5beb26f0ac1e3e75f2e89f6026074828">
  <xsd:schema xmlns:xsd="http://www.w3.org/2001/XMLSchema" xmlns:xs="http://www.w3.org/2001/XMLSchema" xmlns:p="http://schemas.microsoft.com/office/2006/metadata/properties" xmlns:ns2="a95933c2-43f1-4039-ae7a-c7961dc67d32" targetNamespace="http://schemas.microsoft.com/office/2006/metadata/properties" ma:root="true" ma:fieldsID="792d01ef0e4e402795c2eafc69c00f98" ns2:_="">
    <xsd:import namespace="a95933c2-43f1-4039-ae7a-c7961dc67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33c2-43f1-4039-ae7a-c7961dc67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3E74C-6FEC-4C26-B2A3-971747C5F824}">
  <ds:schemaRefs>
    <ds:schemaRef ds:uri="http://schemas.microsoft.com/office/2006/metadata/properties"/>
    <ds:schemaRef ds:uri="http://schemas.microsoft.com/office/infopath/2007/PartnerControls"/>
    <ds:schemaRef ds:uri="9dd70855-4555-4fc6-8fbc-e6f843257071"/>
  </ds:schemaRefs>
</ds:datastoreItem>
</file>

<file path=customXml/itemProps2.xml><?xml version="1.0" encoding="utf-8"?>
<ds:datastoreItem xmlns:ds="http://schemas.openxmlformats.org/officeDocument/2006/customXml" ds:itemID="{D0C74990-8B85-4B73-A858-D454362104F1}"/>
</file>

<file path=customXml/itemProps3.xml><?xml version="1.0" encoding="utf-8"?>
<ds:datastoreItem xmlns:ds="http://schemas.openxmlformats.org/officeDocument/2006/customXml" ds:itemID="{CCBC9DCB-EE9E-4A65-87B0-ABF5C5297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0</TotalTime>
  <Pages>1</Pages>
  <Words>444</Words>
  <Characters>2446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127137</dc:creator>
  <cp:keywords/>
  <dc:description/>
  <cp:lastModifiedBy>GROMMERSCH Larissa</cp:lastModifiedBy>
  <cp:revision>2</cp:revision>
  <dcterms:created xsi:type="dcterms:W3CDTF">2022-04-29T13:04:00Z</dcterms:created>
  <dcterms:modified xsi:type="dcterms:W3CDTF">2022-04-29T13:04:00Z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2021-08-03T14:42:12Z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67666b5a-d74b-449f-a5c5-45a7159111b5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0x01010056DC5616D77E5E48964B96803CF31B82</vt:lpwstr>
  </property>
</Properties>
</file>